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32B5" w14:textId="77777777" w:rsidR="009A7FF9" w:rsidRPr="00D6745E" w:rsidRDefault="009A7FF9" w:rsidP="002F0E94">
      <w:pPr>
        <w:jc w:val="center"/>
        <w:rPr>
          <w:rFonts w:ascii="Times New Roman" w:hAnsi="Times New Roman" w:cs="Times New Roman"/>
          <w:b/>
        </w:rPr>
      </w:pPr>
      <w:r w:rsidRPr="00D6745E">
        <w:rPr>
          <w:rFonts w:ascii="Times New Roman" w:hAnsi="Times New Roman" w:cs="Times New Roman"/>
          <w:b/>
        </w:rPr>
        <w:t>Lexical conditioning on tense/aspect variation in Australian English narratives</w:t>
      </w:r>
    </w:p>
    <w:p w14:paraId="5EB620BE" w14:textId="77777777" w:rsidR="009A7FF9" w:rsidRPr="00D6745E" w:rsidRDefault="009A7FF9" w:rsidP="009C1EDF">
      <w:pPr>
        <w:jc w:val="both"/>
        <w:rPr>
          <w:rFonts w:ascii="Times New Roman" w:hAnsi="Times New Roman" w:cs="Times New Roman"/>
          <w:b/>
        </w:rPr>
      </w:pPr>
    </w:p>
    <w:p w14:paraId="0C1314CF" w14:textId="77777777" w:rsidR="009A7FF9" w:rsidRPr="00D6745E" w:rsidRDefault="009A7FF9" w:rsidP="009C1EDF">
      <w:pPr>
        <w:jc w:val="both"/>
        <w:rPr>
          <w:rFonts w:ascii="Times New Roman" w:hAnsi="Times New Roman" w:cs="Times New Roman"/>
        </w:rPr>
      </w:pPr>
      <w:r w:rsidRPr="00D6745E">
        <w:rPr>
          <w:rFonts w:ascii="Times New Roman" w:hAnsi="Times New Roman" w:cs="Times New Roman"/>
        </w:rPr>
        <w:t xml:space="preserve">Variationist research on English quotation has focused primarily on how the quotative system operates when all quotative variants are considered. For instance, </w:t>
      </w:r>
      <w:r w:rsidRPr="00D6745E">
        <w:rPr>
          <w:rFonts w:ascii="Times New Roman" w:hAnsi="Times New Roman" w:cs="Times New Roman"/>
          <w:i/>
        </w:rPr>
        <w:t>be like</w:t>
      </w:r>
      <w:r w:rsidRPr="00D6745E">
        <w:rPr>
          <w:rFonts w:ascii="Times New Roman" w:hAnsi="Times New Roman" w:cs="Times New Roman"/>
        </w:rPr>
        <w:t xml:space="preserve"> (example 1) has been prolifically studied with respect to all other quotatives in the vernacular of diverse speech communities </w:t>
      </w:r>
      <w:r>
        <w:rPr>
          <w:rFonts w:ascii="Times New Roman" w:hAnsi="Times New Roman" w:cs="Times New Roman"/>
          <w:noProof/>
        </w:rPr>
        <w:t>(e.g. Tagliamonte &amp; Hudson, 1999)</w:t>
      </w:r>
      <w:r w:rsidRPr="00D6745E">
        <w:rPr>
          <w:rFonts w:ascii="Times New Roman" w:hAnsi="Times New Roman" w:cs="Times New Roman"/>
        </w:rPr>
        <w:t>. Additionally, the study of tense</w:t>
      </w:r>
      <w:r>
        <w:rPr>
          <w:rFonts w:ascii="Times New Roman" w:hAnsi="Times New Roman" w:cs="Times New Roman"/>
        </w:rPr>
        <w:t>/aspect</w:t>
      </w:r>
      <w:r w:rsidRPr="00D6745E">
        <w:rPr>
          <w:rFonts w:ascii="Times New Roman" w:hAnsi="Times New Roman" w:cs="Times New Roman"/>
        </w:rPr>
        <w:t xml:space="preserve"> variation, which examines how different tense/aspect configurations are deployed in discourse </w:t>
      </w:r>
      <w:r w:rsidRPr="00D6745E">
        <w:rPr>
          <w:rFonts w:ascii="Times New Roman" w:hAnsi="Times New Roman" w:cs="Times New Roman"/>
          <w:noProof/>
        </w:rPr>
        <w:t>(e.g. Levey, 2006)</w:t>
      </w:r>
      <w:r w:rsidRPr="00D6745E">
        <w:rPr>
          <w:rFonts w:ascii="Times New Roman" w:hAnsi="Times New Roman" w:cs="Times New Roman"/>
        </w:rPr>
        <w:t>, has brought to light how tense/aspect variability interacts with specific lexical items, including quotative verbs.</w:t>
      </w:r>
    </w:p>
    <w:p w14:paraId="5311FF5F" w14:textId="77777777" w:rsidR="009A7FF9" w:rsidRPr="00D6745E" w:rsidRDefault="009A7FF9" w:rsidP="009C1EDF">
      <w:pPr>
        <w:jc w:val="both"/>
        <w:rPr>
          <w:rFonts w:ascii="Times New Roman" w:hAnsi="Times New Roman" w:cs="Times New Roman"/>
        </w:rPr>
      </w:pPr>
    </w:p>
    <w:p w14:paraId="747EC5DC" w14:textId="77777777" w:rsidR="009A7FF9" w:rsidRPr="00D6745E" w:rsidRDefault="009A7FF9" w:rsidP="009C1EDF">
      <w:pPr>
        <w:jc w:val="both"/>
        <w:rPr>
          <w:rFonts w:ascii="Times New Roman" w:hAnsi="Times New Roman" w:cs="Times New Roman"/>
        </w:rPr>
      </w:pPr>
      <w:r w:rsidRPr="00D6745E">
        <w:rPr>
          <w:rFonts w:ascii="Times New Roman" w:hAnsi="Times New Roman" w:cs="Times New Roman"/>
          <w:bCs/>
        </w:rPr>
        <w:t xml:space="preserve">We follow Labov &amp; Walezky </w:t>
      </w:r>
      <w:r w:rsidRPr="00D6745E">
        <w:rPr>
          <w:rFonts w:ascii="Times New Roman" w:hAnsi="Times New Roman" w:cs="Times New Roman"/>
          <w:bCs/>
          <w:noProof/>
        </w:rPr>
        <w:t>(1967)</w:t>
      </w:r>
      <w:r w:rsidRPr="00D6745E">
        <w:rPr>
          <w:rFonts w:ascii="Times New Roman" w:hAnsi="Times New Roman" w:cs="Times New Roman"/>
          <w:bCs/>
        </w:rPr>
        <w:t xml:space="preserve"> and analyse all complicating action clauses stemming from 275 performed narratives produced by 96 Perth-based speakers aged 13-81 for whom mainstream Australian English (AusE) is their first language.</w:t>
      </w:r>
      <w:r w:rsidRPr="00D6745E">
        <w:rPr>
          <w:rFonts w:ascii="Times New Roman" w:hAnsi="Times New Roman" w:cs="Times New Roman"/>
        </w:rPr>
        <w:t xml:space="preserve"> Our analysis reveals a significant interaction between tense/aspect configurations and quotative verbs. Both </w:t>
      </w:r>
      <w:r w:rsidRPr="00D6745E">
        <w:rPr>
          <w:rFonts w:ascii="Times New Roman" w:hAnsi="Times New Roman" w:cs="Times New Roman"/>
          <w:i/>
        </w:rPr>
        <w:t xml:space="preserve">go </w:t>
      </w:r>
      <w:r w:rsidRPr="00D6745E">
        <w:rPr>
          <w:rFonts w:ascii="Times New Roman" w:hAnsi="Times New Roman" w:cs="Times New Roman"/>
        </w:rPr>
        <w:t xml:space="preserve">and </w:t>
      </w:r>
      <w:r w:rsidRPr="00D6745E">
        <w:rPr>
          <w:rFonts w:ascii="Times New Roman" w:hAnsi="Times New Roman" w:cs="Times New Roman"/>
          <w:i/>
        </w:rPr>
        <w:t xml:space="preserve">be like </w:t>
      </w:r>
      <w:r w:rsidRPr="00D6745E">
        <w:rPr>
          <w:rFonts w:ascii="Times New Roman" w:hAnsi="Times New Roman" w:cs="Times New Roman"/>
        </w:rPr>
        <w:t xml:space="preserve">are used with the Historical Present (HP); however, </w:t>
      </w:r>
      <w:r w:rsidRPr="00D6745E">
        <w:rPr>
          <w:rFonts w:ascii="Times New Roman" w:hAnsi="Times New Roman" w:cs="Times New Roman"/>
          <w:i/>
        </w:rPr>
        <w:t xml:space="preserve">be like </w:t>
      </w:r>
      <w:r w:rsidRPr="00D6745E">
        <w:rPr>
          <w:rFonts w:ascii="Times New Roman" w:hAnsi="Times New Roman" w:cs="Times New Roman"/>
        </w:rPr>
        <w:t xml:space="preserve">exerts a stronger effect on HP choice (75%) </w:t>
      </w:r>
      <w:r>
        <w:rPr>
          <w:rFonts w:ascii="Times New Roman" w:hAnsi="Times New Roman" w:cs="Times New Roman"/>
        </w:rPr>
        <w:t xml:space="preserve">(example 1) </w:t>
      </w:r>
      <w:r w:rsidRPr="00D6745E">
        <w:rPr>
          <w:rFonts w:ascii="Times New Roman" w:hAnsi="Times New Roman" w:cs="Times New Roman"/>
        </w:rPr>
        <w:t xml:space="preserve">than does </w:t>
      </w:r>
      <w:r w:rsidRPr="00D6745E">
        <w:rPr>
          <w:rFonts w:ascii="Times New Roman" w:hAnsi="Times New Roman" w:cs="Times New Roman"/>
          <w:i/>
        </w:rPr>
        <w:t>go</w:t>
      </w:r>
      <w:r w:rsidRPr="00D6745E">
        <w:rPr>
          <w:rFonts w:ascii="Times New Roman" w:hAnsi="Times New Roman" w:cs="Times New Roman"/>
        </w:rPr>
        <w:t xml:space="preserve"> (52%). The Narrative Present Perfect (NPP) is predicted in the presence of quotative </w:t>
      </w:r>
      <w:r w:rsidRPr="00D6745E">
        <w:rPr>
          <w:rFonts w:ascii="Times New Roman" w:hAnsi="Times New Roman" w:cs="Times New Roman"/>
          <w:i/>
        </w:rPr>
        <w:t>go</w:t>
      </w:r>
      <w:r w:rsidRPr="00D6745E">
        <w:rPr>
          <w:rFonts w:ascii="Times New Roman" w:hAnsi="Times New Roman" w:cs="Times New Roman"/>
        </w:rPr>
        <w:t xml:space="preserve"> (example 2) but is wholly unattested with </w:t>
      </w:r>
      <w:r w:rsidRPr="00D6745E">
        <w:rPr>
          <w:rFonts w:ascii="Times New Roman" w:hAnsi="Times New Roman" w:cs="Times New Roman"/>
          <w:i/>
        </w:rPr>
        <w:t xml:space="preserve">be </w:t>
      </w:r>
      <w:r w:rsidRPr="00D6745E">
        <w:rPr>
          <w:rFonts w:ascii="Times New Roman" w:hAnsi="Times New Roman" w:cs="Times New Roman"/>
          <w:i/>
          <w:iCs/>
        </w:rPr>
        <w:t>like</w:t>
      </w:r>
      <w:r w:rsidRPr="00D6745E">
        <w:rPr>
          <w:rFonts w:ascii="Times New Roman" w:hAnsi="Times New Roman" w:cs="Times New Roman"/>
          <w:iCs/>
        </w:rPr>
        <w:t>.</w:t>
      </w:r>
    </w:p>
    <w:p w14:paraId="3E798DC5" w14:textId="77777777" w:rsidR="009A7FF9" w:rsidRPr="00D6745E" w:rsidRDefault="009A7FF9" w:rsidP="009C1EDF">
      <w:pPr>
        <w:jc w:val="both"/>
        <w:rPr>
          <w:rFonts w:ascii="Times New Roman" w:hAnsi="Times New Roman" w:cs="Times New Roman"/>
        </w:rPr>
      </w:pPr>
    </w:p>
    <w:p w14:paraId="58409A5A" w14:textId="77777777" w:rsidR="009A7FF9" w:rsidRPr="00D6745E" w:rsidRDefault="009A7FF9" w:rsidP="009C1EDF">
      <w:pPr>
        <w:jc w:val="both"/>
        <w:rPr>
          <w:rFonts w:ascii="Times New Roman" w:hAnsi="Times New Roman" w:cs="Times New Roman"/>
        </w:rPr>
      </w:pPr>
      <w:r w:rsidRPr="00D6745E">
        <w:rPr>
          <w:rFonts w:ascii="Times New Roman" w:hAnsi="Times New Roman" w:cs="Times New Roman"/>
        </w:rPr>
        <w:t xml:space="preserve">We attribute </w:t>
      </w:r>
      <w:r>
        <w:rPr>
          <w:rFonts w:ascii="Times New Roman" w:hAnsi="Times New Roman" w:cs="Times New Roman"/>
        </w:rPr>
        <w:t>the latter</w:t>
      </w:r>
      <w:r w:rsidRPr="00D6745E">
        <w:rPr>
          <w:rFonts w:ascii="Times New Roman" w:hAnsi="Times New Roman" w:cs="Times New Roman"/>
        </w:rPr>
        <w:t xml:space="preserve"> distributions to structural considerations. </w:t>
      </w:r>
      <w:r w:rsidRPr="00D6745E">
        <w:rPr>
          <w:rFonts w:ascii="Times New Roman" w:hAnsi="Times New Roman" w:cs="Times New Roman"/>
          <w:i/>
        </w:rPr>
        <w:t>Be like</w:t>
      </w:r>
      <w:r w:rsidRPr="00D6745E">
        <w:rPr>
          <w:rFonts w:ascii="Times New Roman" w:hAnsi="Times New Roman" w:cs="Times New Roman"/>
        </w:rPr>
        <w:t xml:space="preserve"> is a stative predicate and – because of this – it is dispreferred with the NPP; in fact, </w:t>
      </w:r>
      <w:r w:rsidRPr="00D6745E">
        <w:rPr>
          <w:rFonts w:ascii="Times New Roman" w:hAnsi="Times New Roman" w:cs="Times New Roman"/>
          <w:i/>
        </w:rPr>
        <w:t>be like</w:t>
      </w:r>
      <w:r w:rsidRPr="00D6745E">
        <w:rPr>
          <w:rFonts w:ascii="Times New Roman" w:hAnsi="Times New Roman" w:cs="Times New Roman"/>
        </w:rPr>
        <w:t xml:space="preserve"> never occurs with the NPP in our 10.5-hour narrative corpus. By contrast, the NPP is favoured with eventive predicates </w:t>
      </w:r>
      <w:r w:rsidRPr="00D6745E">
        <w:rPr>
          <w:rFonts w:ascii="Times New Roman" w:hAnsi="Times New Roman" w:cs="Times New Roman"/>
          <w:noProof/>
        </w:rPr>
        <w:t>(Ritz &amp; Engel, 2008: 141)</w:t>
      </w:r>
      <w:r w:rsidRPr="00D6745E">
        <w:rPr>
          <w:rFonts w:ascii="Times New Roman" w:hAnsi="Times New Roman" w:cs="Times New Roman"/>
        </w:rPr>
        <w:t xml:space="preserve"> and, although </w:t>
      </w:r>
      <w:r w:rsidRPr="00D6745E">
        <w:rPr>
          <w:rFonts w:ascii="Times New Roman" w:hAnsi="Times New Roman" w:cs="Times New Roman"/>
          <w:i/>
        </w:rPr>
        <w:t>go</w:t>
      </w:r>
      <w:r w:rsidRPr="00D6745E">
        <w:rPr>
          <w:rFonts w:ascii="Times New Roman" w:hAnsi="Times New Roman" w:cs="Times New Roman"/>
        </w:rPr>
        <w:t xml:space="preserve">’s lexical status is ‘quite diminished’ when it participates in the quotative </w:t>
      </w:r>
      <w:r w:rsidRPr="00D6745E">
        <w:rPr>
          <w:rFonts w:ascii="Times New Roman" w:hAnsi="Times New Roman" w:cs="Times New Roman"/>
          <w:i/>
        </w:rPr>
        <w:t>go</w:t>
      </w:r>
      <w:r w:rsidRPr="00D6745E">
        <w:rPr>
          <w:rFonts w:ascii="Times New Roman" w:hAnsi="Times New Roman" w:cs="Times New Roman"/>
        </w:rPr>
        <w:t xml:space="preserve"> construction </w:t>
      </w:r>
      <w:r w:rsidRPr="00D6745E">
        <w:rPr>
          <w:rFonts w:ascii="Times New Roman" w:hAnsi="Times New Roman" w:cs="Times New Roman"/>
          <w:noProof/>
        </w:rPr>
        <w:t>(Bybee, 2010: 2)</w:t>
      </w:r>
      <w:r w:rsidRPr="00D6745E">
        <w:rPr>
          <w:rFonts w:ascii="Times New Roman" w:hAnsi="Times New Roman" w:cs="Times New Roman"/>
        </w:rPr>
        <w:t xml:space="preserve">, its co-occurrence with the NPP is structurally predictable. </w:t>
      </w:r>
    </w:p>
    <w:p w14:paraId="416E5C17" w14:textId="77777777" w:rsidR="009A7FF9" w:rsidRPr="00D6745E" w:rsidRDefault="009A7FF9" w:rsidP="00515C2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6745E">
        <w:rPr>
          <w:rFonts w:ascii="Times New Roman" w:hAnsi="Times New Roman" w:cs="Times New Roman"/>
        </w:rPr>
        <w:t xml:space="preserve">The frequent collocations noted in our corpus can be seen as constituting conventionalised multi-word expressions which have been ‘established (tacitly, through repetition) as the appropriate way to say something in a particular community’ </w:t>
      </w:r>
      <w:r w:rsidRPr="00D6745E">
        <w:rPr>
          <w:rFonts w:ascii="Times New Roman" w:hAnsi="Times New Roman" w:cs="Times New Roman"/>
          <w:noProof/>
        </w:rPr>
        <w:t>(Bybee, 2010: 35)</w:t>
      </w:r>
      <w:r w:rsidRPr="00D6745E">
        <w:rPr>
          <w:rFonts w:ascii="Times New Roman" w:hAnsi="Times New Roman" w:cs="Times New Roman"/>
        </w:rPr>
        <w:t xml:space="preserve">. We suggest that, rather than speakers making a tense choice anew every time performed storytelling comes to the fore – and in addition to the structure imposed by the narrative genre itself (e.g. </w:t>
      </w:r>
      <w:r>
        <w:rPr>
          <w:rFonts w:ascii="Times New Roman" w:hAnsi="Times New Roman" w:cs="Times New Roman"/>
        </w:rPr>
        <w:t>through priming</w:t>
      </w:r>
      <w:r w:rsidRPr="00D6745E">
        <w:rPr>
          <w:rFonts w:ascii="Times New Roman" w:hAnsi="Times New Roman" w:cs="Times New Roman"/>
        </w:rPr>
        <w:t>) – tense/aspect + quotative combinations, including NPP-</w:t>
      </w:r>
      <w:r w:rsidRPr="00D6745E">
        <w:rPr>
          <w:rFonts w:ascii="Times New Roman" w:hAnsi="Times New Roman" w:cs="Times New Roman"/>
          <w:i/>
        </w:rPr>
        <w:t>go</w:t>
      </w:r>
      <w:r w:rsidRPr="00D6745E">
        <w:rPr>
          <w:rFonts w:ascii="Times New Roman" w:hAnsi="Times New Roman" w:cs="Times New Roman"/>
        </w:rPr>
        <w:t xml:space="preserve"> and HP-</w:t>
      </w:r>
      <w:r w:rsidRPr="00D6745E">
        <w:rPr>
          <w:rFonts w:ascii="Times New Roman" w:hAnsi="Times New Roman" w:cs="Times New Roman"/>
          <w:i/>
        </w:rPr>
        <w:t>be like</w:t>
      </w:r>
      <w:r w:rsidR="007329EB">
        <w:rPr>
          <w:rFonts w:ascii="Times New Roman" w:hAnsi="Times New Roman" w:cs="Times New Roman"/>
        </w:rPr>
        <w:t>,</w:t>
      </w:r>
      <w:bookmarkStart w:id="0" w:name="_GoBack"/>
      <w:bookmarkEnd w:id="0"/>
      <w:r w:rsidRPr="00D6745E">
        <w:rPr>
          <w:rFonts w:ascii="Times New Roman" w:hAnsi="Times New Roman" w:cs="Times New Roman"/>
        </w:rPr>
        <w:t xml:space="preserve"> are used formulaically. As argued by Bybee &amp; Torres Cacoullos </w:t>
      </w:r>
      <w:r w:rsidRPr="00D6745E">
        <w:rPr>
          <w:rFonts w:ascii="Times New Roman" w:hAnsi="Times New Roman" w:cs="Times New Roman"/>
          <w:noProof/>
        </w:rPr>
        <w:t>(2008: 404)</w:t>
      </w:r>
      <w:r w:rsidRPr="00D6745E">
        <w:rPr>
          <w:rFonts w:ascii="Times New Roman" w:hAnsi="Times New Roman" w:cs="Times New Roman"/>
        </w:rPr>
        <w:t>, ‘grammatical domains are contoured by lexical units’.</w:t>
      </w:r>
      <w:r w:rsidRPr="00D6745E">
        <w:rPr>
          <w:rFonts w:ascii="Times New Roman" w:hAnsi="Times New Roman" w:cs="Times New Roman"/>
        </w:rPr>
        <w:br w:type="page"/>
      </w:r>
    </w:p>
    <w:p w14:paraId="41CFBFB0" w14:textId="77777777" w:rsidR="009A7FF9" w:rsidRPr="00D6745E" w:rsidRDefault="009A7FF9" w:rsidP="009C1EDF">
      <w:pPr>
        <w:jc w:val="both"/>
        <w:rPr>
          <w:rFonts w:ascii="Times New Roman" w:hAnsi="Times New Roman" w:cs="Times New Roman"/>
          <w:b/>
        </w:rPr>
      </w:pPr>
      <w:r w:rsidRPr="00D6745E">
        <w:rPr>
          <w:rFonts w:ascii="Times New Roman" w:hAnsi="Times New Roman" w:cs="Times New Roman"/>
          <w:b/>
        </w:rPr>
        <w:lastRenderedPageBreak/>
        <w:t>Examples</w:t>
      </w:r>
    </w:p>
    <w:p w14:paraId="59F99AE7" w14:textId="77777777" w:rsidR="009A7FF9" w:rsidRPr="00D6745E" w:rsidRDefault="009A7FF9" w:rsidP="009C1EDF">
      <w:pPr>
        <w:jc w:val="both"/>
        <w:rPr>
          <w:rFonts w:ascii="Times New Roman" w:hAnsi="Times New Roman" w:cs="Times New Roman"/>
          <w:b/>
        </w:rPr>
      </w:pPr>
    </w:p>
    <w:p w14:paraId="57B87332" w14:textId="77777777" w:rsidR="009A7FF9" w:rsidRPr="00D6745E" w:rsidRDefault="009A7FF9" w:rsidP="009C1ED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ヒラギノ角ゴ Pro W3" w:hAnsi="Times New Roman" w:cs="Times New Roman"/>
        </w:rPr>
      </w:pPr>
      <w:r w:rsidRPr="00D6745E">
        <w:rPr>
          <w:rFonts w:ascii="Times New Roman" w:hAnsi="Times New Roman" w:cs="Times New Roman"/>
        </w:rPr>
        <w:t>(1)</w:t>
      </w:r>
      <w:r w:rsidRPr="00D6745E">
        <w:rPr>
          <w:rFonts w:ascii="Times New Roman" w:hAnsi="Times New Roman" w:cs="Times New Roman"/>
        </w:rPr>
        <w:tab/>
        <w:t xml:space="preserve">I </w:t>
      </w:r>
      <w:r w:rsidRPr="00D6745E">
        <w:rPr>
          <w:rFonts w:ascii="Times New Roman" w:hAnsi="Times New Roman" w:cs="Times New Roman"/>
          <w:bCs/>
        </w:rPr>
        <w:t>got</w:t>
      </w:r>
      <w:r w:rsidRPr="00D6745E">
        <w:rPr>
          <w:rFonts w:ascii="Times New Roman" w:hAnsi="Times New Roman" w:cs="Times New Roman"/>
        </w:rPr>
        <w:t xml:space="preserve"> a phone call from my housemate. […] </w:t>
      </w:r>
      <w:r w:rsidRPr="00D6745E">
        <w:rPr>
          <w:rFonts w:ascii="Times New Roman" w:eastAsia="ヒラギノ角ゴ Pro W3" w:hAnsi="Times New Roman" w:cs="Times New Roman"/>
        </w:rPr>
        <w:t>And I</w:t>
      </w:r>
      <w:r w:rsidRPr="00D6745E">
        <w:rPr>
          <w:rFonts w:ascii="Times New Roman" w:eastAsia="ヒラギノ角ゴ Pro W3" w:hAnsi="Times New Roman" w:cs="Times New Roman"/>
          <w:bCs/>
        </w:rPr>
        <w:t>’</w:t>
      </w:r>
      <w:r w:rsidRPr="00D6745E">
        <w:rPr>
          <w:rFonts w:ascii="Times New Roman" w:eastAsia="ヒラギノ角ゴ Pro W3" w:hAnsi="Times New Roman" w:cs="Times New Roman"/>
          <w:b/>
          <w:bCs/>
        </w:rPr>
        <w:t>m like</w:t>
      </w:r>
      <w:r w:rsidRPr="00D6745E">
        <w:rPr>
          <w:rFonts w:ascii="Times New Roman" w:eastAsia="ヒラギノ角ゴ Pro W3" w:hAnsi="Times New Roman" w:cs="Times New Roman"/>
        </w:rPr>
        <w:t>, ‘What’s happened?’ She</w:t>
      </w:r>
      <w:r w:rsidRPr="00D6745E">
        <w:rPr>
          <w:rFonts w:ascii="Times New Roman" w:eastAsia="ヒラギノ角ゴ Pro W3" w:hAnsi="Times New Roman" w:cs="Times New Roman"/>
          <w:bCs/>
        </w:rPr>
        <w:t>’</w:t>
      </w:r>
      <w:r w:rsidRPr="00D6745E">
        <w:rPr>
          <w:rFonts w:ascii="Times New Roman" w:eastAsia="ヒラギノ角ゴ Pro W3" w:hAnsi="Times New Roman" w:cs="Times New Roman"/>
          <w:b/>
          <w:bCs/>
        </w:rPr>
        <w:t>s like</w:t>
      </w:r>
      <w:r w:rsidRPr="00D6745E">
        <w:rPr>
          <w:rFonts w:ascii="Times New Roman" w:eastAsia="ヒラギノ角ゴ Pro W3" w:hAnsi="Times New Roman" w:cs="Times New Roman"/>
        </w:rPr>
        <w:t>, ‘My boyfriend’s car’s rolled down into the front of our house and smashed the whole front of the house down’. (Female, 25)</w:t>
      </w:r>
    </w:p>
    <w:p w14:paraId="5A2838DA" w14:textId="77777777" w:rsidR="009A7FF9" w:rsidRPr="00D6745E" w:rsidRDefault="009A7FF9" w:rsidP="009C1EDF">
      <w:pPr>
        <w:jc w:val="both"/>
        <w:rPr>
          <w:rFonts w:ascii="Times New Roman" w:hAnsi="Times New Roman" w:cs="Times New Roman"/>
        </w:rPr>
      </w:pPr>
    </w:p>
    <w:p w14:paraId="5419EE6B" w14:textId="77777777" w:rsidR="009A7FF9" w:rsidRPr="00D6745E" w:rsidRDefault="009A7FF9" w:rsidP="009C1EDF">
      <w:pPr>
        <w:ind w:left="720" w:hanging="720"/>
        <w:jc w:val="both"/>
        <w:rPr>
          <w:rFonts w:ascii="Times New Roman" w:hAnsi="Times New Roman" w:cs="Times New Roman"/>
        </w:rPr>
      </w:pPr>
      <w:r w:rsidRPr="00D6745E">
        <w:rPr>
          <w:rFonts w:ascii="Times New Roman" w:hAnsi="Times New Roman" w:cs="Times New Roman"/>
        </w:rPr>
        <w:t>(2)</w:t>
      </w:r>
      <w:r w:rsidRPr="00D6745E">
        <w:rPr>
          <w:rFonts w:ascii="Times New Roman" w:hAnsi="Times New Roman" w:cs="Times New Roman"/>
        </w:rPr>
        <w:tab/>
        <w:t>We had three bags when we got off the plane. And when we got off the bus we had two. […] And I</w:t>
      </w:r>
      <w:r w:rsidRPr="00D6745E">
        <w:rPr>
          <w:rFonts w:ascii="Times New Roman" w:hAnsi="Times New Roman" w:cs="Times New Roman"/>
          <w:bCs/>
        </w:rPr>
        <w:t>’</w:t>
      </w:r>
      <w:r w:rsidRPr="00D6745E">
        <w:rPr>
          <w:rFonts w:ascii="Times New Roman" w:hAnsi="Times New Roman" w:cs="Times New Roman"/>
          <w:b/>
          <w:bCs/>
        </w:rPr>
        <w:t>ve gone</w:t>
      </w:r>
      <w:r w:rsidRPr="00D6745E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You’</w:t>
      </w:r>
      <w:r w:rsidRPr="00D6745E">
        <w:rPr>
          <w:rFonts w:ascii="Times New Roman" w:hAnsi="Times New Roman" w:cs="Times New Roman"/>
        </w:rPr>
        <w:t>re kidding! Are you kidding? Oh my God’. (Male, 33)</w:t>
      </w:r>
    </w:p>
    <w:p w14:paraId="01DC55F1" w14:textId="77777777" w:rsidR="009A7FF9" w:rsidRPr="00D6745E" w:rsidRDefault="009A7FF9" w:rsidP="009C1EDF">
      <w:pPr>
        <w:jc w:val="both"/>
        <w:rPr>
          <w:rFonts w:ascii="Times New Roman" w:hAnsi="Times New Roman" w:cs="Times New Roman"/>
          <w:b/>
        </w:rPr>
      </w:pPr>
    </w:p>
    <w:p w14:paraId="7CD9B492" w14:textId="77777777" w:rsidR="009A7FF9" w:rsidRPr="00D6745E" w:rsidRDefault="009A7FF9" w:rsidP="009C1EDF">
      <w:pPr>
        <w:jc w:val="both"/>
        <w:rPr>
          <w:rFonts w:ascii="Times New Roman" w:hAnsi="Times New Roman" w:cs="Times New Roman"/>
          <w:b/>
        </w:rPr>
      </w:pPr>
      <w:r w:rsidRPr="00D6745E">
        <w:rPr>
          <w:rFonts w:ascii="Times New Roman" w:hAnsi="Times New Roman" w:cs="Times New Roman"/>
          <w:b/>
        </w:rPr>
        <w:t>References</w:t>
      </w:r>
    </w:p>
    <w:p w14:paraId="46F143D2" w14:textId="77777777" w:rsidR="009A7FF9" w:rsidRPr="00D6745E" w:rsidRDefault="009A7FF9" w:rsidP="00A92845">
      <w:pPr>
        <w:jc w:val="both"/>
        <w:rPr>
          <w:rFonts w:ascii="Times New Roman" w:hAnsi="Times New Roman" w:cs="Times New Roman"/>
        </w:rPr>
      </w:pPr>
    </w:p>
    <w:p w14:paraId="30C3A6BB" w14:textId="77777777" w:rsidR="009A7FF9" w:rsidRPr="00D9258C" w:rsidRDefault="009A7FF9" w:rsidP="00A216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9258C">
        <w:rPr>
          <w:rFonts w:ascii="Times New Roman" w:hAnsi="Times New Roman" w:cs="Times New Roman"/>
          <w:noProof/>
        </w:rPr>
        <w:t xml:space="preserve">Bybee, Joan (2010). </w:t>
      </w:r>
      <w:r w:rsidRPr="00D9258C">
        <w:rPr>
          <w:rFonts w:ascii="Times New Roman" w:hAnsi="Times New Roman" w:cs="Times New Roman"/>
          <w:i/>
          <w:noProof/>
        </w:rPr>
        <w:t xml:space="preserve">Language, usage and cognition. </w:t>
      </w:r>
      <w:r w:rsidRPr="00D9258C">
        <w:rPr>
          <w:rFonts w:ascii="Times New Roman" w:hAnsi="Times New Roman" w:cs="Times New Roman"/>
          <w:noProof/>
        </w:rPr>
        <w:t>Cambrige: Cambridge University Press.</w:t>
      </w:r>
    </w:p>
    <w:p w14:paraId="5CE02CCC" w14:textId="77777777" w:rsidR="009A7FF9" w:rsidRPr="00D9258C" w:rsidRDefault="009A7FF9" w:rsidP="00A216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9258C">
        <w:rPr>
          <w:rFonts w:ascii="Times New Roman" w:hAnsi="Times New Roman" w:cs="Times New Roman"/>
          <w:noProof/>
        </w:rPr>
        <w:t xml:space="preserve">Bybee, Joan &amp; Rena Torres Cacoullos (2008). Phonological and Grammatical Variation in Exemplar Models. </w:t>
      </w:r>
      <w:r w:rsidRPr="00D9258C">
        <w:rPr>
          <w:rFonts w:ascii="Times New Roman" w:hAnsi="Times New Roman" w:cs="Times New Roman"/>
          <w:i/>
          <w:noProof/>
        </w:rPr>
        <w:t>Studies in Hispanic and Lusophone Linguistics</w:t>
      </w:r>
      <w:r w:rsidRPr="00D9258C">
        <w:rPr>
          <w:rFonts w:ascii="Times New Roman" w:hAnsi="Times New Roman" w:cs="Times New Roman"/>
          <w:noProof/>
        </w:rPr>
        <w:t xml:space="preserve"> 1(2): 309–413.</w:t>
      </w:r>
    </w:p>
    <w:p w14:paraId="1F237849" w14:textId="77777777" w:rsidR="009A7FF9" w:rsidRPr="00D9258C" w:rsidRDefault="009A7FF9" w:rsidP="00A216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9258C">
        <w:rPr>
          <w:rFonts w:ascii="Times New Roman" w:hAnsi="Times New Roman" w:cs="Times New Roman"/>
          <w:noProof/>
        </w:rPr>
        <w:t xml:space="preserve">Labov, William &amp; Joshua Waletzky (1967). Narrative analysis: Oral versions of personal experience. In Helm, J. (Ed.), </w:t>
      </w:r>
      <w:r w:rsidRPr="00D9258C">
        <w:rPr>
          <w:rFonts w:ascii="Times New Roman" w:hAnsi="Times New Roman" w:cs="Times New Roman"/>
          <w:i/>
          <w:noProof/>
        </w:rPr>
        <w:t>Essays in the Verbal and Visual Arts.</w:t>
      </w:r>
      <w:r w:rsidRPr="00D9258C">
        <w:rPr>
          <w:rFonts w:ascii="Times New Roman" w:hAnsi="Times New Roman" w:cs="Times New Roman"/>
          <w:noProof/>
        </w:rPr>
        <w:t xml:space="preserve"> Seattle: Washington University Press. 12– 44.</w:t>
      </w:r>
    </w:p>
    <w:p w14:paraId="2ECA4AC2" w14:textId="77777777" w:rsidR="009A7FF9" w:rsidRPr="00D9258C" w:rsidRDefault="009A7FF9" w:rsidP="00A216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9258C">
        <w:rPr>
          <w:rFonts w:ascii="Times New Roman" w:hAnsi="Times New Roman" w:cs="Times New Roman"/>
          <w:noProof/>
        </w:rPr>
        <w:t xml:space="preserve">Levey, Stephen (2006). Tense variation in preadolescent narratives. </w:t>
      </w:r>
      <w:r w:rsidRPr="00D9258C">
        <w:rPr>
          <w:rFonts w:ascii="Times New Roman" w:hAnsi="Times New Roman" w:cs="Times New Roman"/>
          <w:i/>
          <w:noProof/>
        </w:rPr>
        <w:t>Journal of English Linguistics</w:t>
      </w:r>
      <w:r w:rsidRPr="00D9258C">
        <w:rPr>
          <w:rFonts w:ascii="Times New Roman" w:hAnsi="Times New Roman" w:cs="Times New Roman"/>
          <w:noProof/>
        </w:rPr>
        <w:t xml:space="preserve"> 34(2): 126–152.</w:t>
      </w:r>
    </w:p>
    <w:p w14:paraId="21A2BDD5" w14:textId="77777777" w:rsidR="009A7FF9" w:rsidRPr="00D9258C" w:rsidRDefault="009A7FF9" w:rsidP="00A216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9258C">
        <w:rPr>
          <w:rFonts w:ascii="Times New Roman" w:hAnsi="Times New Roman" w:cs="Times New Roman"/>
          <w:noProof/>
        </w:rPr>
        <w:t xml:space="preserve">Ritz, Marie-Eve &amp; Dulcie Engel (2008). Vivid narrative use and the meaning of the present perfect in spoken Australian English. </w:t>
      </w:r>
      <w:r w:rsidRPr="00D9258C">
        <w:rPr>
          <w:rFonts w:ascii="Times New Roman" w:hAnsi="Times New Roman" w:cs="Times New Roman"/>
          <w:i/>
          <w:noProof/>
        </w:rPr>
        <w:t>Linguistics</w:t>
      </w:r>
      <w:r w:rsidRPr="00D9258C">
        <w:rPr>
          <w:rFonts w:ascii="Times New Roman" w:hAnsi="Times New Roman" w:cs="Times New Roman"/>
          <w:noProof/>
        </w:rPr>
        <w:t xml:space="preserve"> 46(1): 129–158.</w:t>
      </w:r>
    </w:p>
    <w:p w14:paraId="7B59678C" w14:textId="77777777" w:rsidR="009A7FF9" w:rsidRPr="00D9258C" w:rsidRDefault="009A7FF9" w:rsidP="00A216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9258C">
        <w:rPr>
          <w:rFonts w:ascii="Times New Roman" w:hAnsi="Times New Roman" w:cs="Times New Roman"/>
          <w:noProof/>
        </w:rPr>
        <w:t xml:space="preserve">Tagliamonte, Sali &amp; Rachael Hudson (1999). Be like et al. beyond America: The quotative system in British and Canadian youth. </w:t>
      </w:r>
      <w:r w:rsidRPr="00D9258C">
        <w:rPr>
          <w:rFonts w:ascii="Times New Roman" w:hAnsi="Times New Roman" w:cs="Times New Roman"/>
          <w:i/>
          <w:noProof/>
        </w:rPr>
        <w:t>Journal of Sociolinguistics</w:t>
      </w:r>
      <w:r w:rsidRPr="00D9258C">
        <w:rPr>
          <w:rFonts w:ascii="Times New Roman" w:hAnsi="Times New Roman" w:cs="Times New Roman"/>
          <w:noProof/>
        </w:rPr>
        <w:t xml:space="preserve"> 3(2): 147–172.</w:t>
      </w:r>
    </w:p>
    <w:p w14:paraId="2FE65787" w14:textId="77777777" w:rsidR="009A7FF9" w:rsidRPr="00D9258C" w:rsidRDefault="009A7FF9" w:rsidP="00D6745E">
      <w:pPr>
        <w:jc w:val="both"/>
        <w:rPr>
          <w:rFonts w:ascii="Times New Roman" w:hAnsi="Times New Roman" w:cs="Times New Roman"/>
        </w:rPr>
      </w:pPr>
    </w:p>
    <w:p w14:paraId="32B89EA6" w14:textId="77777777" w:rsidR="007F7966" w:rsidRDefault="007F7966"/>
    <w:sectPr w:rsidR="007F7966" w:rsidSect="009A7FF9">
      <w:footerReference w:type="even" r:id="rId6"/>
      <w:foot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2084" w14:textId="77777777" w:rsidR="00A2167C" w:rsidRDefault="007329EB" w:rsidP="009E5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B5C78" w14:textId="77777777" w:rsidR="00A2167C" w:rsidRDefault="007329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3536" w14:textId="77777777" w:rsidR="00A2167C" w:rsidRPr="00D6745E" w:rsidRDefault="007329EB" w:rsidP="009E52B7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D6745E">
      <w:rPr>
        <w:rStyle w:val="PageNumber"/>
        <w:rFonts w:ascii="Times New Roman" w:hAnsi="Times New Roman" w:cs="Times New Roman"/>
      </w:rPr>
      <w:t xml:space="preserve">Page </w:t>
    </w:r>
    <w:r w:rsidRPr="00D6745E">
      <w:rPr>
        <w:rStyle w:val="PageNumber"/>
        <w:rFonts w:ascii="Times New Roman" w:hAnsi="Times New Roman" w:cs="Times New Roman"/>
      </w:rPr>
      <w:fldChar w:fldCharType="begin"/>
    </w:r>
    <w:r w:rsidRPr="00D6745E">
      <w:rPr>
        <w:rStyle w:val="PageNumber"/>
        <w:rFonts w:ascii="Times New Roman" w:hAnsi="Times New Roman" w:cs="Times New Roman"/>
      </w:rPr>
      <w:instrText xml:space="preserve">PAGE  </w:instrText>
    </w:r>
    <w:r w:rsidRPr="00D6745E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D6745E">
      <w:rPr>
        <w:rStyle w:val="PageNumber"/>
        <w:rFonts w:ascii="Times New Roman" w:hAnsi="Times New Roman" w:cs="Times New Roman"/>
      </w:rPr>
      <w:fldChar w:fldCharType="end"/>
    </w:r>
    <w:r w:rsidRPr="00D6745E">
      <w:rPr>
        <w:rStyle w:val="PageNumber"/>
        <w:rFonts w:ascii="Times New Roman" w:hAnsi="Times New Roman" w:cs="Times New Roman"/>
      </w:rPr>
      <w:t xml:space="preserve"> of 2</w:t>
    </w:r>
  </w:p>
  <w:p w14:paraId="43830EA4" w14:textId="77777777" w:rsidR="00A2167C" w:rsidRDefault="007329EB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A7FF9"/>
    <w:rsid w:val="007329EB"/>
    <w:rsid w:val="007F7966"/>
    <w:rsid w:val="009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0B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  <w:rsid w:val="009A7F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7FF9"/>
  </w:style>
  <w:style w:type="character" w:styleId="CommentReference">
    <w:name w:val="annotation reference"/>
    <w:basedOn w:val="DefaultParagraphFont"/>
    <w:uiPriority w:val="99"/>
    <w:semiHidden/>
    <w:unhideWhenUsed/>
    <w:rsid w:val="009A7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7F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9A7FF9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9A7FF9"/>
    <w:rPr>
      <w:rFonts w:ascii="Cambria" w:hAnsi="Cambria"/>
      <w:lang w:val="en-US"/>
    </w:rPr>
  </w:style>
  <w:style w:type="table" w:styleId="TableGrid">
    <w:name w:val="Table Grid"/>
    <w:basedOn w:val="TableNormal"/>
    <w:uiPriority w:val="59"/>
    <w:rsid w:val="009A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7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F9"/>
  </w:style>
  <w:style w:type="character" w:styleId="PageNumber">
    <w:name w:val="page number"/>
    <w:basedOn w:val="DefaultParagraphFont"/>
    <w:uiPriority w:val="99"/>
    <w:semiHidden/>
    <w:unhideWhenUsed/>
    <w:rsid w:val="009A7FF9"/>
  </w:style>
  <w:style w:type="paragraph" w:styleId="Header">
    <w:name w:val="header"/>
    <w:basedOn w:val="Normal"/>
    <w:link w:val="HeaderChar"/>
    <w:uiPriority w:val="99"/>
    <w:unhideWhenUsed/>
    <w:rsid w:val="009A7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  <w:rsid w:val="009A7F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7FF9"/>
  </w:style>
  <w:style w:type="character" w:styleId="CommentReference">
    <w:name w:val="annotation reference"/>
    <w:basedOn w:val="DefaultParagraphFont"/>
    <w:uiPriority w:val="99"/>
    <w:semiHidden/>
    <w:unhideWhenUsed/>
    <w:rsid w:val="009A7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7F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9A7FF9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9A7FF9"/>
    <w:rPr>
      <w:rFonts w:ascii="Cambria" w:hAnsi="Cambria"/>
      <w:lang w:val="en-US"/>
    </w:rPr>
  </w:style>
  <w:style w:type="table" w:styleId="TableGrid">
    <w:name w:val="Table Grid"/>
    <w:basedOn w:val="TableNormal"/>
    <w:uiPriority w:val="59"/>
    <w:rsid w:val="009A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7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F9"/>
  </w:style>
  <w:style w:type="character" w:styleId="PageNumber">
    <w:name w:val="page number"/>
    <w:basedOn w:val="DefaultParagraphFont"/>
    <w:uiPriority w:val="99"/>
    <w:semiHidden/>
    <w:unhideWhenUsed/>
    <w:rsid w:val="009A7FF9"/>
  </w:style>
  <w:style w:type="paragraph" w:styleId="Header">
    <w:name w:val="header"/>
    <w:basedOn w:val="Normal"/>
    <w:link w:val="HeaderChar"/>
    <w:uiPriority w:val="99"/>
    <w:unhideWhenUsed/>
    <w:rsid w:val="009A7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3221</Characters>
  <Application>Microsoft Macintosh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2016-06-29T14:12:00Z</dcterms:created>
  <dcterms:modified xsi:type="dcterms:W3CDTF">2016-06-29T14:15:00Z</dcterms:modified>
</cp:coreProperties>
</file>