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3hclxawixvp" w:id="0"/>
      <w:bookmarkEnd w:id="0"/>
      <w:r w:rsidDel="00000000" w:rsidR="00000000" w:rsidRPr="00000000">
        <w:rPr>
          <w:rtl w:val="0"/>
        </w:rPr>
        <w:t xml:space="preserve">Exploring interactions between transgender, gender-diverse and non-binary (TGDNB) individuals and allied health professionals in clinical practice: a scoping review protocol.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vertAlign w:val="superscript"/>
        </w:rPr>
      </w:pPr>
      <w:r w:rsidDel="00000000" w:rsidR="00000000" w:rsidRPr="00000000">
        <w:rPr>
          <w:rtl w:val="0"/>
        </w:rPr>
        <w:t xml:space="preserve">Jessica Coventry</w:t>
      </w:r>
      <w:r w:rsidDel="00000000" w:rsidR="00000000" w:rsidRPr="00000000">
        <w:rPr>
          <w:vertAlign w:val="superscript"/>
          <w:rtl w:val="0"/>
        </w:rPr>
        <w:t xml:space="preserve">1</w:t>
      </w:r>
      <w:r w:rsidDel="00000000" w:rsidR="00000000" w:rsidRPr="00000000">
        <w:rPr>
          <w:rtl w:val="0"/>
        </w:rPr>
        <w:t xml:space="preserve">, Christian Osadnik</w:t>
      </w:r>
      <w:r w:rsidDel="00000000" w:rsidR="00000000" w:rsidRPr="00000000">
        <w:rPr>
          <w:vertAlign w:val="superscript"/>
          <w:rtl w:val="0"/>
        </w:rPr>
        <w:t xml:space="preserve">1</w:t>
      </w:r>
      <w:r w:rsidDel="00000000" w:rsidR="00000000" w:rsidRPr="00000000">
        <w:rPr>
          <w:rtl w:val="0"/>
        </w:rPr>
        <w:t xml:space="preserve">, Riki Lane</w:t>
      </w:r>
      <w:r w:rsidDel="00000000" w:rsidR="00000000" w:rsidRPr="00000000">
        <w:rPr>
          <w:vertAlign w:val="superscript"/>
          <w:rtl w:val="0"/>
        </w:rPr>
        <w:t xml:space="preserve">2</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vertAlign w:val="superscript"/>
        </w:rPr>
      </w:pPr>
      <w:r w:rsidDel="00000000" w:rsidR="00000000" w:rsidRPr="00000000">
        <w:rPr>
          <w:rtl w:val="0"/>
        </w:rPr>
      </w:r>
    </w:p>
    <w:p w:rsidR="00000000" w:rsidDel="00000000" w:rsidP="00000000" w:rsidRDefault="00000000" w:rsidRPr="00000000" w14:paraId="00000007">
      <w:pPr>
        <w:rPr/>
      </w:pPr>
      <w:r w:rsidDel="00000000" w:rsidR="00000000" w:rsidRPr="00000000">
        <w:rPr>
          <w:vertAlign w:val="superscript"/>
          <w:rtl w:val="0"/>
        </w:rPr>
        <w:t xml:space="preserve">1</w:t>
      </w:r>
      <w:r w:rsidDel="00000000" w:rsidR="00000000" w:rsidRPr="00000000">
        <w:rPr>
          <w:rtl w:val="0"/>
        </w:rPr>
        <w:t xml:space="preserve"> Monash University, Department of Physiotherapy, 47-49 Moorooduc Highway, Frankston, Victoria, Australia 3199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vertAlign w:val="superscript"/>
          <w:rtl w:val="0"/>
        </w:rPr>
        <w:t xml:space="preserve">2</w:t>
      </w:r>
      <w:r w:rsidDel="00000000" w:rsidR="00000000" w:rsidRPr="00000000">
        <w:rPr>
          <w:rtl w:val="0"/>
        </w:rPr>
        <w:t xml:space="preserve"> Monash University, Department of General Practice, 553 St Kilda Road</w:t>
      </w:r>
    </w:p>
    <w:p w:rsidR="00000000" w:rsidDel="00000000" w:rsidP="00000000" w:rsidRDefault="00000000" w:rsidRPr="00000000" w14:paraId="0000000A">
      <w:pPr>
        <w:rPr/>
      </w:pPr>
      <w:r w:rsidDel="00000000" w:rsidR="00000000" w:rsidRPr="00000000">
        <w:rPr>
          <w:rtl w:val="0"/>
        </w:rPr>
        <w:t xml:space="preserve">Melbourne Victoria, Australia 3004</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bookmarkStart w:colFirst="0" w:colLast="0" w:name="_heading=h.1fob9te" w:id="1"/>
      <w:bookmarkEnd w:id="1"/>
      <w:r w:rsidDel="00000000" w:rsidR="00000000" w:rsidRPr="00000000">
        <w:rPr>
          <w:rtl w:val="0"/>
        </w:rPr>
        <w:t xml:space="preserve">Key words </w:t>
      </w:r>
    </w:p>
    <w:p w:rsidR="00000000" w:rsidDel="00000000" w:rsidP="00000000" w:rsidRDefault="00000000" w:rsidRPr="00000000" w14:paraId="00000010">
      <w:pPr>
        <w:rPr/>
      </w:pPr>
      <w:r w:rsidDel="00000000" w:rsidR="00000000" w:rsidRPr="00000000">
        <w:rPr>
          <w:rtl w:val="0"/>
        </w:rPr>
        <w:t xml:space="preserve">Allied Health; Transgender; Non-binary; Gender-diverse; Healthcare.</w:t>
      </w:r>
    </w:p>
    <w:p w:rsidR="00000000" w:rsidDel="00000000" w:rsidP="00000000" w:rsidRDefault="00000000" w:rsidRPr="00000000" w14:paraId="00000011">
      <w:pPr>
        <w:pStyle w:val="Heading1"/>
        <w:rPr/>
      </w:pPr>
      <w:r w:rsidDel="00000000" w:rsidR="00000000" w:rsidRPr="00000000">
        <w:rPr>
          <w:rtl w:val="0"/>
        </w:rPr>
      </w:r>
    </w:p>
    <w:p w:rsidR="00000000" w:rsidDel="00000000" w:rsidP="00000000" w:rsidRDefault="00000000" w:rsidRPr="00000000" w14:paraId="00000012">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Background </w:t>
      </w:r>
    </w:p>
    <w:p w:rsidR="00000000" w:rsidDel="00000000" w:rsidP="00000000" w:rsidRDefault="00000000" w:rsidRPr="00000000" w14:paraId="00000014">
      <w:pPr>
        <w:rPr/>
      </w:pPr>
      <w:r w:rsidDel="00000000" w:rsidR="00000000" w:rsidRPr="00000000">
        <w:rPr>
          <w:rtl w:val="0"/>
        </w:rPr>
        <w:t xml:space="preserve">Transgender</w:t>
      </w:r>
      <w:r w:rsidDel="00000000" w:rsidR="00000000" w:rsidRPr="00000000">
        <w:rPr>
          <w:rtl w:val="0"/>
        </w:rPr>
        <w:t xml:space="preserve"> is a term that denotes an individual whose sense of identity relating to their gender does not correspond with the sex assigned to them at birth. While transgender is often employed as an umbrella term, not all gender diverse people will identify with the term. Non-binary is another term that describes people </w:t>
      </w:r>
      <w:r w:rsidDel="00000000" w:rsidR="00000000" w:rsidRPr="00000000">
        <w:rPr>
          <w:rtl w:val="0"/>
        </w:rPr>
        <w:t xml:space="preserve">who feel they are unable to </w:t>
      </w:r>
      <w:r w:rsidDel="00000000" w:rsidR="00000000" w:rsidRPr="00000000">
        <w:rPr>
          <w:rtl w:val="0"/>
        </w:rPr>
        <w:t xml:space="preserve">define their gender identity within the restraints of the gender binary. Many terms exist within the transgender, gender diverse and non-binary (TGDNB) communities. Some other examples of gender diverse terms people may identify with include agender, bigender, genderqueer or gender-fluid. While TGDNB will be used within this study it is important to understand that these terms represent a spectrum. Individuals who do not identify as </w:t>
      </w:r>
      <w:r w:rsidDel="00000000" w:rsidR="00000000" w:rsidRPr="00000000">
        <w:rPr>
          <w:rtl w:val="0"/>
        </w:rPr>
        <w:t xml:space="preserve">cis-gendered </w:t>
      </w:r>
      <w:r w:rsidDel="00000000" w:rsidR="00000000" w:rsidRPr="00000000">
        <w:rPr>
          <w:rtl w:val="0"/>
        </w:rPr>
        <w:t xml:space="preserve">or </w:t>
      </w:r>
      <w:r w:rsidDel="00000000" w:rsidR="00000000" w:rsidRPr="00000000">
        <w:rPr>
          <w:rtl w:val="0"/>
        </w:rPr>
        <w:t xml:space="preserve">within the binary </w:t>
      </w:r>
      <w:r w:rsidDel="00000000" w:rsidR="00000000" w:rsidRPr="00000000">
        <w:rPr>
          <w:rtl w:val="0"/>
        </w:rPr>
        <w:t xml:space="preserve">may also not identify with any of the TGDNB terms discussed. Most available healthcare literature focuses on the wider lesbian, gay, bisexual and transgender (LGBT) population, rather than specifically focusing on transgender individuals (Bonvicini, 2017; Klein et al., 2018; Shetty et al., 2016; Stewart &amp; O'Reilly, 2017). While some experiences will be shared, TGDNB experiences around gender identity and gender affirmation will be different to those of a cis-gendered lesbian, gay or bisexual individual</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TGDNB individuals </w:t>
      </w:r>
      <w:r w:rsidDel="00000000" w:rsidR="00000000" w:rsidRPr="00000000">
        <w:rPr>
          <w:rtl w:val="0"/>
        </w:rPr>
        <w:t xml:space="preserve">face significant stigma, discrimination and societal marginalisation (White Hughto et al., 2015). Discrimination and stigma have been </w:t>
      </w:r>
      <w:r w:rsidDel="00000000" w:rsidR="00000000" w:rsidRPr="00000000">
        <w:rPr>
          <w:rtl w:val="0"/>
        </w:rPr>
        <w:t xml:space="preserve">well documented </w:t>
      </w:r>
      <w:r w:rsidDel="00000000" w:rsidR="00000000" w:rsidRPr="00000000">
        <w:rPr>
          <w:rtl w:val="0"/>
        </w:rPr>
        <w:t xml:space="preserve">as contributing significantly to health disparities (Hatzenbuehler et al., 2013; Nyblade et al., 2019; White Hughto et al., 2015). TGDNB individuals experience worse mental and physical health, experiencing significantly higher rates of depression, anxiety, suicidality and eating disorders (Ålgars et al., 2012; Tebbe &amp; Moradi, 2016; Testa et al., 2017; Valentine &amp; Shipherd, 2018)</w:t>
      </w:r>
      <w:r w:rsidDel="00000000" w:rsidR="00000000" w:rsidRPr="00000000">
        <w:rPr>
          <w:rtl w:val="0"/>
        </w:rPr>
        <w:t xml:space="preserve">.</w:t>
      </w:r>
      <w:r w:rsidDel="00000000" w:rsidR="00000000" w:rsidRPr="00000000">
        <w:rPr>
          <w:rtl w:val="0"/>
        </w:rPr>
        <w:t xml:space="preserve"> One contributing factor to the imbalance in health outcomes is the avoidance of healthcare services by TGDNB individuals out of fear of discrimination and misgendering (Seelman et al., 2017). An example of this is the significant discrepancy in cervical cancer screening for cis-gendered women compared with transgender men (Dhillon et al., 2020; Weyers et al., 2021). A US-based </w:t>
      </w:r>
      <w:r w:rsidDel="00000000" w:rsidR="00000000" w:rsidRPr="00000000">
        <w:rPr>
          <w:rtl w:val="0"/>
        </w:rPr>
        <w:t xml:space="preserve">study</w:t>
      </w:r>
      <w:r w:rsidDel="00000000" w:rsidR="00000000" w:rsidRPr="00000000">
        <w:rPr>
          <w:rtl w:val="0"/>
        </w:rPr>
        <w:t xml:space="preserve"> found that TGDNB individuals were less likely to have health insurance when compared to cis-gendered individuals (Dickey et al., 2016). It was also found that TGDNB individuals were less likely to have a primary care doctor compared to cis-gendered individuals (Dickey et al., 2016)</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TGDNB individuals also face a range of barriers in accessing healthcare. Some are faced by other marginalised groups while others are unique or significantly amplified for members of the TGDNB community.  For example, knowledge and competency levels of health care professionals can be </w:t>
      </w:r>
      <w:r w:rsidDel="00000000" w:rsidR="00000000" w:rsidRPr="00000000">
        <w:rPr>
          <w:rtl w:val="0"/>
        </w:rPr>
        <w:t xml:space="preserve">suboptimal</w:t>
      </w:r>
      <w:r w:rsidDel="00000000" w:rsidR="00000000" w:rsidRPr="00000000">
        <w:rPr>
          <w:rtl w:val="0"/>
        </w:rPr>
        <w:t xml:space="preserve">, while healthcare system processes can be non-inclusive (</w:t>
      </w:r>
      <w:r w:rsidDel="00000000" w:rsidR="00000000" w:rsidRPr="00000000">
        <w:rPr>
          <w:rtl w:val="0"/>
        </w:rPr>
        <w:t xml:space="preserve">e.g., </w:t>
      </w:r>
      <w:r w:rsidDel="00000000" w:rsidR="00000000" w:rsidRPr="00000000">
        <w:rPr>
          <w:rtl w:val="0"/>
        </w:rPr>
        <w:t xml:space="preserve">forms, electronic record-keeping, clinical facilities)(Safer, 2019; Safer et al., 2016).</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 common reason that TGDNB individuals seek health care is for treatments that medically affirm their gender identity. This may include hormone therapy and or gender affirmation surgery. Previously only a small number of specialists worked within TGDNB affirming care. Now TGDNB healthcare has become more mainstream and </w:t>
      </w:r>
      <w:r w:rsidDel="00000000" w:rsidR="00000000" w:rsidRPr="00000000">
        <w:rPr>
          <w:rtl w:val="0"/>
        </w:rPr>
        <w:t xml:space="preserve">training opportunities </w:t>
      </w:r>
      <w:r w:rsidDel="00000000" w:rsidR="00000000" w:rsidRPr="00000000">
        <w:rPr>
          <w:rtl w:val="0"/>
        </w:rPr>
        <w:t xml:space="preserve">for medical and allied health professionals are struggling to keep up with demand</w:t>
      </w:r>
      <w:r w:rsidDel="00000000" w:rsidR="00000000" w:rsidRPr="00000000">
        <w:rPr>
          <w:rtl w:val="0"/>
        </w:rPr>
        <w:t xml:space="preserve">.</w:t>
      </w:r>
      <w:r w:rsidDel="00000000" w:rsidR="00000000" w:rsidRPr="00000000">
        <w:rPr>
          <w:rtl w:val="0"/>
        </w:rPr>
        <w:t xml:space="preserve"> Without the necessary training in this area, the full scope of health care is likely influenced by preconceived perceptions (and biases) of individual healthcare providers</w:t>
      </w:r>
      <w:r w:rsidDel="00000000" w:rsidR="00000000" w:rsidRPr="00000000">
        <w:rPr>
          <w:rtl w:val="0"/>
        </w:rPr>
        <w:t xml:space="preserve">.</w:t>
      </w:r>
      <w:r w:rsidDel="00000000" w:rsidR="00000000" w:rsidRPr="00000000">
        <w:rPr>
          <w:rtl w:val="0"/>
        </w:rPr>
        <w:t xml:space="preserve"> Subsequently, </w:t>
      </w:r>
      <w:r w:rsidDel="00000000" w:rsidR="00000000" w:rsidRPr="00000000">
        <w:rPr>
          <w:rtl w:val="0"/>
        </w:rPr>
        <w:t xml:space="preserve">TGDNB experiences </w:t>
      </w:r>
      <w:r w:rsidDel="00000000" w:rsidR="00000000" w:rsidRPr="00000000">
        <w:rPr>
          <w:rtl w:val="0"/>
        </w:rPr>
        <w:t xml:space="preserve">of healthcare may be negatively impacted as a result of competency issues among health care professionals (Teti et al., 2021).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Allied health professionals play an important role in gender affirming treatments. Speech therapists may provide voice feminisation therapy while physiotherapists may implement pelvic floor exercise programs after gender affirming vaginoplasty surgery (Jiang et al., 2019; Kim, 2020). Allied health professionals may also be sought out for care unrelated to medical gender-affirmation. Despite their relevant input, allied health professionals like many other healthcare professionals, </w:t>
      </w:r>
      <w:r w:rsidDel="00000000" w:rsidR="00000000" w:rsidRPr="00000000">
        <w:rPr>
          <w:rtl w:val="0"/>
        </w:rPr>
        <w:t xml:space="preserve">often lack specific training in TGDNB healthcare.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 small volume of literature exists regarding the experiences of TGDNB patients in healthcare settings, however, such information has a focus on nursing staff, doctors and/or psychologists who are often more directly involved in the provision of medical gender affirmation (American Psychological Association, 2015; Carabez et al., 2016; Hashemi et al., 2018; Kattari et al., 2020; Rosa et al., 2019; Stanton et al., 2021).  Little is known about the healthcare experiences </w:t>
      </w:r>
      <w:r w:rsidDel="00000000" w:rsidR="00000000" w:rsidRPr="00000000">
        <w:rPr>
          <w:rtl w:val="0"/>
        </w:rPr>
        <w:t xml:space="preserve">related</w:t>
      </w:r>
      <w:r w:rsidDel="00000000" w:rsidR="00000000" w:rsidRPr="00000000">
        <w:rPr>
          <w:rtl w:val="0"/>
        </w:rPr>
        <w:t xml:space="preserve"> to the allied health professions in a more general clinical context.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As it is an emerging area, it is important to first understand the current experiences </w:t>
      </w:r>
      <w:r w:rsidDel="00000000" w:rsidR="00000000" w:rsidRPr="00000000">
        <w:rPr>
          <w:rtl w:val="0"/>
        </w:rPr>
        <w:t xml:space="preserve">of</w:t>
      </w:r>
      <w:r w:rsidDel="00000000" w:rsidR="00000000" w:rsidRPr="00000000">
        <w:rPr>
          <w:rtl w:val="0"/>
        </w:rPr>
        <w:t xml:space="preserve"> allied health care in clinical settings. This review, therefore, aims to address this gap in knowledge and synthesise the evidence that currently exists on the TDGNB patient experiences of allied healthcare clinicians and potentially highlight ways in which the healthcare community can improve care experiences for </w:t>
      </w:r>
      <w:r w:rsidDel="00000000" w:rsidR="00000000" w:rsidRPr="00000000">
        <w:rPr>
          <w:rtl w:val="0"/>
        </w:rPr>
        <w:t xml:space="preserve">this</w:t>
      </w:r>
      <w:r w:rsidDel="00000000" w:rsidR="00000000" w:rsidRPr="00000000">
        <w:rPr>
          <w:rtl w:val="0"/>
        </w:rPr>
        <w:t xml:space="preserve"> population</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21">
      <w:pPr>
        <w:pStyle w:val="Heading1"/>
        <w:rPr/>
      </w:pPr>
      <w:bookmarkStart w:colFirst="0" w:colLast="0" w:name="_heading=h.3znysh7" w:id="2"/>
      <w:bookmarkEnd w:id="2"/>
      <w:r w:rsidDel="00000000" w:rsidR="00000000" w:rsidRPr="00000000">
        <w:rPr>
          <w:rtl w:val="0"/>
        </w:rPr>
        <w:t xml:space="preserve">Aims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Primary Aim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To summarise the currently available literature on health care encounters between allied health professionals and TGDNB </w:t>
      </w:r>
      <w:r w:rsidDel="00000000" w:rsidR="00000000" w:rsidRPr="00000000">
        <w:rPr>
          <w:rtl w:val="0"/>
        </w:rPr>
        <w:t xml:space="preserve">individuals</w:t>
      </w: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Secondary Aim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To summarise existing </w:t>
      </w:r>
      <w:r w:rsidDel="00000000" w:rsidR="00000000" w:rsidRPr="00000000">
        <w:rPr>
          <w:rFonts w:ascii="Helvetica Neue" w:cs="Helvetica Neue" w:eastAsia="Helvetica Neue" w:hAnsi="Helvetica Neue"/>
          <w:color w:val="222222"/>
          <w:rtl w:val="0"/>
        </w:rPr>
        <w:t xml:space="preserve">clinical practice or guideline-based recommendations</w:t>
      </w:r>
      <w:r w:rsidDel="00000000" w:rsidR="00000000" w:rsidRPr="00000000">
        <w:rPr>
          <w:rtl w:val="0"/>
        </w:rPr>
        <w:t xml:space="preserve"> for allied health professionals regarding clinical interactions with TGDNB individuals.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w:t>
      </w:r>
      <w:r w:rsidDel="00000000" w:rsidR="00000000" w:rsidRPr="00000000">
        <w:rPr>
          <w:rtl w:val="0"/>
        </w:rPr>
        <w:t xml:space="preserve"> scoping review was selected as the chosen method as it facilitates the mapping of all available research. This will allow the authors to highlight key themes and trends within the literature. The goal of this scoping review is to summarise the current evidence and recommendations while highlighting the key features of allied health professionals’ interactions with TGDNB individuals. It is hoped that this review will also provide an outline of the clinical practice recommendations that exist to guide allied health professionals when interacting with TGDNB individuals in clinical settings.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1"/>
        <w:rPr>
          <w:sz w:val="24"/>
          <w:szCs w:val="24"/>
        </w:rPr>
      </w:pPr>
      <w:bookmarkStart w:colFirst="0" w:colLast="0" w:name="_heading=h.2et92p0" w:id="3"/>
      <w:bookmarkEnd w:id="3"/>
      <w:r w:rsidDel="00000000" w:rsidR="00000000" w:rsidRPr="00000000">
        <w:rPr>
          <w:sz w:val="24"/>
          <w:szCs w:val="24"/>
          <w:rtl w:val="0"/>
        </w:rPr>
        <w:t xml:space="preserve">Research questio</w:t>
      </w:r>
      <w:r w:rsidDel="00000000" w:rsidR="00000000" w:rsidRPr="00000000">
        <w:rPr>
          <w:sz w:val="24"/>
          <w:szCs w:val="24"/>
          <w:rtl w:val="0"/>
        </w:rPr>
        <w:t xml:space="preserve">n</w:t>
      </w:r>
      <w:r w:rsidDel="00000000" w:rsidR="00000000" w:rsidRPr="00000000">
        <w:rPr>
          <w:sz w:val="24"/>
          <w:szCs w:val="24"/>
          <w:rtl w:val="0"/>
        </w:rPr>
        <w:t xml:space="preserve"> </w:t>
      </w:r>
    </w:p>
    <w:p w:rsidR="00000000" w:rsidDel="00000000" w:rsidP="00000000" w:rsidRDefault="00000000" w:rsidRPr="00000000" w14:paraId="0000002C">
      <w:pPr>
        <w:rPr/>
      </w:pPr>
      <w:r w:rsidDel="00000000" w:rsidR="00000000" w:rsidRPr="00000000">
        <w:rPr>
          <w:rtl w:val="0"/>
        </w:rPr>
        <w:t xml:space="preserve">Two research questions will be addressed in order to ensure depth and breadth of the topic will be covered. These are outlined below: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sz w:val="24"/>
          <w:szCs w:val="24"/>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are the features of health care encounters between allied health professionals and TGDNB </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individuals</w:t>
      </w: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sz w:val="24"/>
          <w:szCs w:val="24"/>
          <w:shd w:fill="auto" w:val="clear"/>
          <w:vertAlign w:val="baseline"/>
        </w:rPr>
      </w:pPr>
      <w:r w:rsidDel="00000000" w:rsidR="00000000" w:rsidRPr="00000000">
        <w:rPr>
          <w:rFonts w:ascii="Helvetica Neue" w:cs="Helvetica Neue" w:eastAsia="Helvetica Neue" w:hAnsi="Helvetica Neue"/>
          <w:b w:val="0"/>
          <w:i w:val="0"/>
          <w:smallCaps w:val="0"/>
          <w:strike w:val="0"/>
          <w:sz w:val="24"/>
          <w:szCs w:val="24"/>
          <w:u w:val="none"/>
          <w:shd w:fill="auto" w:val="clear"/>
          <w:vertAlign w:val="baseline"/>
          <w:rtl w:val="0"/>
        </w:rPr>
        <w:t xml:space="preserve">What are the clinical practice recommendations or guidelines that exist to guide allied health professionals regarding clinical interactions with TGDNB individuals?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pStyle w:val="Heading1"/>
        <w:rPr/>
      </w:pPr>
      <w:bookmarkStart w:colFirst="0" w:colLast="0" w:name="_heading=h.tyjcwt" w:id="4"/>
      <w:bookmarkEnd w:id="4"/>
      <w:r w:rsidDel="00000000" w:rsidR="00000000" w:rsidRPr="00000000">
        <w:rPr>
          <w:rtl w:val="0"/>
        </w:rPr>
        <w:t xml:space="preserve">Methods </w:t>
      </w:r>
    </w:p>
    <w:p w:rsidR="00000000" w:rsidDel="00000000" w:rsidP="00000000" w:rsidRDefault="00000000" w:rsidRPr="00000000" w14:paraId="00000033">
      <w:pPr>
        <w:rPr/>
      </w:pPr>
      <w:r w:rsidDel="00000000" w:rsidR="00000000" w:rsidRPr="00000000">
        <w:rPr>
          <w:rtl w:val="0"/>
        </w:rPr>
        <w:t xml:space="preserve">A</w:t>
      </w:r>
      <w:r w:rsidDel="00000000" w:rsidR="00000000" w:rsidRPr="00000000">
        <w:rPr>
          <w:rtl w:val="0"/>
        </w:rPr>
        <w:t xml:space="preserve"> scoping review was selected as the chosen method as it facilitates the mapping of all available research. This will allow the authors to highlight key themes and trends within the literature. </w:t>
      </w:r>
      <w:r w:rsidDel="00000000" w:rsidR="00000000" w:rsidRPr="00000000">
        <w:rPr>
          <w:rtl w:val="0"/>
        </w:rPr>
        <w:t xml:space="preserve">The scoping review </w:t>
      </w:r>
      <w:r w:rsidDel="00000000" w:rsidR="00000000" w:rsidRPr="00000000">
        <w:rPr>
          <w:rtl w:val="0"/>
        </w:rPr>
        <w:t xml:space="preserve">will look at the features of interactions between allied health professionals and TGDNB patients in clinical settings</w:t>
      </w:r>
      <w:r w:rsidDel="00000000" w:rsidR="00000000" w:rsidRPr="00000000">
        <w:rPr>
          <w:rtl w:val="0"/>
        </w:rPr>
        <w:t xml:space="preserve">.</w:t>
      </w:r>
      <w:r w:rsidDel="00000000" w:rsidR="00000000" w:rsidRPr="00000000">
        <w:rPr>
          <w:rtl w:val="0"/>
        </w:rPr>
        <w:t xml:space="preserve"> Quality appraisal will not be undertaken when looking at inclusion and exclusion of papers. This is common practice in scoping reviews as it permits a greater breadth of literature to be included (Munn et al., 2018). The review will be guided by Arksey and O’ Malley’s framework and the Joanna Briggs Institute Manual for Evidence Synthesis (Arksey &amp; O'Malley, 2005; Peters et al., 2017). The 5 steps outlined by Arksey and O’Malley (2005) include: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Identifying the research question</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Identifying relevant studies </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Selection of eligible studies </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Charting the data </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Collating and summarising the results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pStyle w:val="Heading1"/>
        <w:rPr/>
      </w:pPr>
      <w:bookmarkStart w:colFirst="0" w:colLast="0" w:name="_heading=h.2s8eyo1" w:id="5"/>
      <w:bookmarkEnd w:id="5"/>
      <w:r w:rsidDel="00000000" w:rsidR="00000000" w:rsidRPr="00000000">
        <w:rPr>
          <w:sz w:val="24"/>
          <w:szCs w:val="24"/>
          <w:rtl w:val="0"/>
        </w:rPr>
        <w:t xml:space="preserve">Eligibility criteria </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Table 1 highlights the PPC framework that will be used for this scoping review. </w:t>
      </w:r>
    </w:p>
    <w:p w:rsidR="00000000" w:rsidDel="00000000" w:rsidP="00000000" w:rsidRDefault="00000000" w:rsidRPr="00000000" w14:paraId="0000003D">
      <w:pPr>
        <w:rPr>
          <w:i w:val="1"/>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Table 1 </w:t>
      </w:r>
    </w:p>
    <w:tbl>
      <w:tblPr>
        <w:tblStyle w:val="Table1"/>
        <w:tblW w:w="9510.0"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3120"/>
        <w:gridCol w:w="6390"/>
        <w:tblGridChange w:id="0">
          <w:tblGrid>
            <w:gridCol w:w="3120"/>
            <w:gridCol w:w="6390"/>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rPr>
                <w:color w:val="000000"/>
              </w:rPr>
            </w:pPr>
            <w:r w:rsidDel="00000000" w:rsidR="00000000" w:rsidRPr="00000000">
              <w:rPr>
                <w:color w:val="000000"/>
                <w:rtl w:val="0"/>
              </w:rPr>
              <w:t xml:space="preserve">PPC FRAMEWORK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1">
            <w:pPr>
              <w:rPr>
                <w:color w:val="000000"/>
              </w:rPr>
            </w:pPr>
            <w:r w:rsidDel="00000000" w:rsidR="00000000" w:rsidRPr="00000000">
              <w:rPr>
                <w:color w:val="000000"/>
                <w:rtl w:val="0"/>
              </w:rPr>
              <w:t xml:space="preserve">Population/Participants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rPr>
                <w:color w:val="000000"/>
              </w:rPr>
            </w:pPr>
            <w:r w:rsidDel="00000000" w:rsidR="00000000" w:rsidRPr="00000000">
              <w:rPr>
                <w:color w:val="000000"/>
                <w:rtl w:val="0"/>
              </w:rPr>
              <w:t xml:space="preserve">Allied health professionals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rPr>
                <w:color w:val="000000"/>
              </w:rPr>
            </w:pPr>
            <w:r w:rsidDel="00000000" w:rsidR="00000000" w:rsidRPr="00000000">
              <w:rPr>
                <w:color w:val="000000"/>
                <w:rtl w:val="0"/>
              </w:rPr>
              <w:t xml:space="preserve">Concept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color w:val="000000"/>
              </w:rPr>
            </w:pPr>
            <w:r w:rsidDel="00000000" w:rsidR="00000000" w:rsidRPr="00000000">
              <w:rPr>
                <w:color w:val="000000"/>
                <w:rtl w:val="0"/>
              </w:rPr>
              <w:t xml:space="preserve">Working with transgender, non-binary and gender diverse adult patients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rPr>
                <w:color w:val="000000"/>
              </w:rPr>
            </w:pPr>
            <w:r w:rsidDel="00000000" w:rsidR="00000000" w:rsidRPr="00000000">
              <w:rPr>
                <w:color w:val="000000"/>
                <w:rtl w:val="0"/>
              </w:rPr>
              <w:t xml:space="preserve">Context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6">
            <w:pPr>
              <w:rPr>
                <w:color w:val="000000"/>
              </w:rPr>
            </w:pPr>
            <w:r w:rsidDel="00000000" w:rsidR="00000000" w:rsidRPr="00000000">
              <w:rPr>
                <w:color w:val="000000"/>
                <w:rtl w:val="0"/>
              </w:rPr>
              <w:t xml:space="preserve">Clinical settings </w:t>
            </w:r>
          </w:p>
        </w:tc>
      </w:tr>
    </w:tbl>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Participants</w:t>
      </w:r>
    </w:p>
    <w:p w:rsidR="00000000" w:rsidDel="00000000" w:rsidP="00000000" w:rsidRDefault="00000000" w:rsidRPr="00000000" w14:paraId="0000004A">
      <w:pPr>
        <w:rPr>
          <w:shd w:fill="c27ba0" w:val="clear"/>
        </w:rPr>
      </w:pPr>
      <w:bookmarkStart w:colFirst="0" w:colLast="0" w:name="_heading=h.17dp8vu" w:id="6"/>
      <w:bookmarkEnd w:id="6"/>
      <w:r w:rsidDel="00000000" w:rsidR="00000000" w:rsidRPr="00000000">
        <w:rPr>
          <w:rtl w:val="0"/>
        </w:rPr>
        <w:t xml:space="preserve">Studies that include allied health professionals as described by </w:t>
      </w:r>
      <w:r w:rsidDel="00000000" w:rsidR="00000000" w:rsidRPr="00000000">
        <w:rPr>
          <w:rtl w:val="0"/>
        </w:rPr>
        <w:t xml:space="preserve">Allied Health Professionals Australia</w:t>
      </w:r>
      <w:r w:rsidDel="00000000" w:rsidR="00000000" w:rsidRPr="00000000">
        <w:rPr>
          <w:rtl w:val="0"/>
        </w:rPr>
        <w:t xml:space="preserve"> will be eligible for inclusion (Allied Health Professions Australia, 2021)</w:t>
      </w:r>
      <w:r w:rsidDel="00000000" w:rsidR="00000000" w:rsidRPr="00000000">
        <w:rPr>
          <w:rtl w:val="0"/>
        </w:rPr>
        <w:t xml:space="preserve">.</w:t>
      </w:r>
      <w:r w:rsidDel="00000000" w:rsidR="00000000" w:rsidRPr="00000000">
        <w:rPr>
          <w:rtl w:val="0"/>
        </w:rPr>
        <w:t xml:space="preserve"> A list of included allied health professions is available in A</w:t>
      </w:r>
      <w:r w:rsidDel="00000000" w:rsidR="00000000" w:rsidRPr="00000000">
        <w:rPr>
          <w:rtl w:val="0"/>
        </w:rPr>
        <w:t xml:space="preserve">ppendix V.</w:t>
      </w:r>
      <w:r w:rsidDel="00000000" w:rsidR="00000000" w:rsidRPr="00000000">
        <w:rPr>
          <w:shd w:fill="c27ba0" w:val="clear"/>
          <w:rtl w:val="0"/>
        </w:rPr>
        <w:t xml:space="preserve"> </w:t>
      </w:r>
    </w:p>
    <w:p w:rsidR="00000000" w:rsidDel="00000000" w:rsidP="00000000" w:rsidRDefault="00000000" w:rsidRPr="00000000" w14:paraId="0000004B">
      <w:pPr>
        <w:rPr/>
      </w:pPr>
      <w:bookmarkStart w:colFirst="0" w:colLast="0" w:name="_heading=h.ayjbvdqqg0t9" w:id="7"/>
      <w:bookmarkEnd w:id="7"/>
      <w:r w:rsidDel="00000000" w:rsidR="00000000" w:rsidRPr="00000000">
        <w:rPr>
          <w:rtl w:val="0"/>
        </w:rPr>
      </w:r>
    </w:p>
    <w:p w:rsidR="00000000" w:rsidDel="00000000" w:rsidP="00000000" w:rsidRDefault="00000000" w:rsidRPr="00000000" w14:paraId="0000004C">
      <w:pPr>
        <w:rPr/>
      </w:pPr>
      <w:bookmarkStart w:colFirst="0" w:colLast="0" w:name="_heading=h.pp6tlgmtp4v6" w:id="8"/>
      <w:bookmarkEnd w:id="8"/>
      <w:r w:rsidDel="00000000" w:rsidR="00000000" w:rsidRPr="00000000">
        <w:rPr>
          <w:rtl w:val="0"/>
        </w:rPr>
        <w:t xml:space="preserve">Psychologists will be excluded from the target allied health population due to their significant role in the process of gender affirming surgery and hormone treatments. The focus of this review is not on best practice of gender affirming surgical care but the interactions between allied health clinicians and TGDNB patients in everyday clinical care (not necessarily related to </w:t>
      </w:r>
      <w:r w:rsidDel="00000000" w:rsidR="00000000" w:rsidRPr="00000000">
        <w:rPr>
          <w:rtl w:val="0"/>
        </w:rPr>
        <w:t xml:space="preserve">gender affirmation</w:t>
      </w:r>
      <w:r w:rsidDel="00000000" w:rsidR="00000000" w:rsidRPr="00000000">
        <w:rPr>
          <w:rtl w:val="0"/>
        </w:rPr>
        <w:t xml:space="preserve"> procedures)</w:t>
      </w:r>
      <w:r w:rsidDel="00000000" w:rsidR="00000000" w:rsidRPr="00000000">
        <w:rPr>
          <w:rtl w:val="0"/>
        </w:rPr>
        <w:t xml:space="preserve">. American Psychological Association offers guidelines for clinical psychologists to assist them to provide gender affirming care to TGDNB individuals. </w:t>
      </w:r>
      <w:r w:rsidDel="00000000" w:rsidR="00000000" w:rsidRPr="00000000">
        <w:rPr>
          <w:rtl w:val="0"/>
        </w:rPr>
        <w:t xml:space="preserve">This decision was confirmed after drafting and piloting database search strategies resulted in excessive yields related to studies involving psychologists. </w:t>
      </w:r>
      <w:r w:rsidDel="00000000" w:rsidR="00000000" w:rsidRPr="00000000">
        <w:rPr>
          <w:rtl w:val="0"/>
        </w:rPr>
      </w:r>
    </w:p>
    <w:p w:rsidR="00000000" w:rsidDel="00000000" w:rsidP="00000000" w:rsidRDefault="00000000" w:rsidRPr="00000000" w14:paraId="0000004D">
      <w:pPr>
        <w:rPr/>
      </w:pPr>
      <w:bookmarkStart w:colFirst="0" w:colLast="0" w:name="_heading=h.8qsn0qy3oa3x" w:id="9"/>
      <w:bookmarkEnd w:id="9"/>
      <w:r w:rsidDel="00000000" w:rsidR="00000000" w:rsidRPr="00000000">
        <w:rPr>
          <w:rtl w:val="0"/>
        </w:rPr>
      </w:r>
    </w:p>
    <w:p w:rsidR="00000000" w:rsidDel="00000000" w:rsidP="00000000" w:rsidRDefault="00000000" w:rsidRPr="00000000" w14:paraId="0000004E">
      <w:pPr>
        <w:rPr/>
      </w:pPr>
      <w:bookmarkStart w:colFirst="0" w:colLast="0" w:name="_heading=h.5dc1u25oln7b" w:id="10"/>
      <w:bookmarkEnd w:id="10"/>
      <w:r w:rsidDel="00000000" w:rsidR="00000000" w:rsidRPr="00000000">
        <w:rPr>
          <w:rtl w:val="0"/>
        </w:rPr>
        <w:t xml:space="preserve">Studies including allied health students will not be eligible for inclusion. </w:t>
      </w:r>
      <w:r w:rsidDel="00000000" w:rsidR="00000000" w:rsidRPr="00000000">
        <w:rPr>
          <w:rtl w:val="0"/>
        </w:rPr>
        <w:t xml:space="preserve">Where studies involve multidisciplinary teams that include doctors, nurses or psychologists, papers will be eligible for inclusion if at least 75 percent of the practitioners are allied health professionals. </w:t>
      </w:r>
    </w:p>
    <w:p w:rsidR="00000000" w:rsidDel="00000000" w:rsidP="00000000" w:rsidRDefault="00000000" w:rsidRPr="00000000" w14:paraId="0000004F">
      <w:pPr>
        <w:rPr>
          <w:b w:val="1"/>
          <w:i w:val="1"/>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Concept</w:t>
      </w:r>
    </w:p>
    <w:p w:rsidR="00000000" w:rsidDel="00000000" w:rsidP="00000000" w:rsidRDefault="00000000" w:rsidRPr="00000000" w14:paraId="00000051">
      <w:pPr>
        <w:rPr>
          <w:i w:val="1"/>
        </w:rPr>
      </w:pPr>
      <w:r w:rsidDel="00000000" w:rsidR="00000000" w:rsidRPr="00000000">
        <w:rPr>
          <w:rtl w:val="0"/>
        </w:rPr>
        <w:t xml:space="preserve">Studies focusing on the healthcare of transgender, gender diverse and non-binary adult individuals will be eligible for inclusion. The focus must be on TGDNB individuals over 16 years of age, papers containing any individuals under the age of 16 in their population will not be eligible for inclusion. To be eligible for inclusion, studies must include or discuss the TGDNB population. A general LGBTQ+ population is not grounds for inclusion. </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b w:val="1"/>
          <w:rtl w:val="0"/>
        </w:rPr>
        <w:t xml:space="preserve">Context</w:t>
      </w:r>
    </w:p>
    <w:p w:rsidR="00000000" w:rsidDel="00000000" w:rsidP="00000000" w:rsidRDefault="00000000" w:rsidRPr="00000000" w14:paraId="00000054">
      <w:pPr>
        <w:rPr/>
      </w:pPr>
      <w:r w:rsidDel="00000000" w:rsidR="00000000" w:rsidRPr="00000000">
        <w:rPr>
          <w:rtl w:val="0"/>
        </w:rPr>
        <w:t xml:space="preserve">Studies conducted in or focusing on a healthcare context will be eligible for inclusion. </w:t>
      </w:r>
    </w:p>
    <w:p w:rsidR="00000000" w:rsidDel="00000000" w:rsidP="00000000" w:rsidRDefault="00000000" w:rsidRPr="00000000" w14:paraId="00000055">
      <w:pPr>
        <w:rPr>
          <w:shd w:fill="f4cccc" w:val="clear"/>
        </w:rPr>
      </w:pPr>
      <w:r w:rsidDel="00000000" w:rsidR="00000000" w:rsidRPr="00000000">
        <w:rPr>
          <w:rtl w:val="0"/>
        </w:rPr>
        <w:t xml:space="preserve">The interaction between TGDNB patients and allied health professionals does not need to be explicitly clinical in nature, e.g. calling a patient in from the waiting room of an allied healthcare practice. </w:t>
      </w:r>
      <w:r w:rsidDel="00000000" w:rsidR="00000000" w:rsidRPr="00000000">
        <w:rPr>
          <w:rtl w:val="0"/>
        </w:rPr>
        <w:t xml:space="preserve">Studies focused on mental health care settings will not be eligible for inclusion for the same reasons that studies related to psychologists were deemed ineligible.</w:t>
      </w:r>
      <w:r w:rsidDel="00000000" w:rsidR="00000000" w:rsidRPr="00000000">
        <w:rPr>
          <w:shd w:fill="f4cccc" w:val="clear"/>
          <w:rtl w:val="0"/>
        </w:rPr>
        <w:t xml:space="preserv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Papers involving education settings or context will not be eligible for inclusion. University programs or course development papers will not be included. Topics involving a healthcare setting but focusing on the education of allied health professionals on TGDNB health experiences will not be eligible for inclusion</w:t>
      </w:r>
      <w:r w:rsidDel="00000000" w:rsidR="00000000" w:rsidRPr="00000000">
        <w:rPr>
          <w:rtl w:val="0"/>
        </w:rPr>
        <w:t xml:space="preserve">.</w:t>
      </w:r>
      <w:r w:rsidDel="00000000" w:rsidR="00000000" w:rsidRPr="00000000">
        <w:rPr>
          <w:rtl w:val="0"/>
        </w:rPr>
        <w:t xml:space="preserve"> Papers will not be restricted by location of study. Included papers must be in English as translated texts may not capture the nuances of TGDNB experiences that original papers </w:t>
      </w:r>
      <w:r w:rsidDel="00000000" w:rsidR="00000000" w:rsidRPr="00000000">
        <w:rPr>
          <w:rtl w:val="0"/>
        </w:rPr>
        <w:t xml:space="preserve">do</w:t>
      </w:r>
      <w:r w:rsidDel="00000000" w:rsidR="00000000" w:rsidRPr="00000000">
        <w:rPr>
          <w:rtl w:val="0"/>
        </w:rPr>
        <w:t xml:space="preserve"> (Polkinghorne, 2005). Papers must be accessible through Monash University Library systems for inclusion.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Papers published before 2000 will be excluded. This is in order to document the most current literature. Language in the TGDNB space has changed significantly over the past 40 years as have attitudes towards TGDNB patients. Historically TGDNB experiences have been pathologized and language has played a pivotal role in the discrimination and marginalisation of both individuals and communities (Bouman et al., 2017). 2000 was selected as the creation of a research plan for the DSM-5 began in 2000 (Vahia, 2013). The DSM-5 was published in 2013 and saw the term ‘gender identity disorder’ removed and replaced with ‘gender dysphoria’ (Davy &amp; Toze, 2018). In the United States, key Transgender history events happened around this time point. Some of these include the establishment of the Transgender Foundation of America in 2001, followed by the National Centre for Transgender Equality and Transgender American Veterans Association in 2003</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Study types </w:t>
      </w:r>
      <w:r w:rsidDel="00000000" w:rsidR="00000000" w:rsidRPr="00000000">
        <w:rPr>
          <w:rtl w:val="0"/>
        </w:rPr>
      </w:r>
    </w:p>
    <w:p w:rsidR="00000000" w:rsidDel="00000000" w:rsidP="00000000" w:rsidRDefault="00000000" w:rsidRPr="00000000" w14:paraId="0000005C">
      <w:pPr>
        <w:rPr>
          <w:rFonts w:ascii="Helvetica Neue" w:cs="Helvetica Neue" w:eastAsia="Helvetica Neue" w:hAnsi="Helvetica Neue"/>
          <w:color w:val="222222"/>
        </w:rPr>
      </w:pPr>
      <w:r w:rsidDel="00000000" w:rsidR="00000000" w:rsidRPr="00000000">
        <w:rPr>
          <w:rtl w:val="0"/>
        </w:rPr>
        <w:t xml:space="preserve">In order to address both review questions, both empirical and non-empirical studies will be eligible for inclusion. Papers focusing on LGBTQ+ health care </w:t>
      </w:r>
      <w:r w:rsidDel="00000000" w:rsidR="00000000" w:rsidRPr="00000000">
        <w:rPr>
          <w:rtl w:val="0"/>
        </w:rPr>
        <w:t xml:space="preserve">must include at least 3 points of recommendation </w:t>
      </w:r>
      <w:r w:rsidDel="00000000" w:rsidR="00000000" w:rsidRPr="00000000">
        <w:rPr>
          <w:rtl w:val="0"/>
        </w:rPr>
        <w:t xml:space="preserve">explicitly for TGDNB populations to be eligible for inclusion. Clinical guidelines published by medical organisations may be eligible for inclusion if the focus of the paper is on allied health practices. These guidelines must include a minimum of 3 points of recommendation explicitly aimed at allied health staff to be eligible for inclusion.</w:t>
      </w:r>
      <w:r w:rsidDel="00000000" w:rsidR="00000000" w:rsidRPr="00000000">
        <w:rPr>
          <w:rtl w:val="0"/>
        </w:rPr>
      </w:r>
    </w:p>
    <w:p w:rsidR="00000000" w:rsidDel="00000000" w:rsidP="00000000" w:rsidRDefault="00000000" w:rsidRPr="00000000" w14:paraId="0000005D">
      <w:pPr>
        <w:pStyle w:val="Heading1"/>
        <w:rPr>
          <w:sz w:val="24"/>
          <w:szCs w:val="24"/>
        </w:rPr>
      </w:pPr>
      <w:bookmarkStart w:colFirst="0" w:colLast="0" w:name="_heading=h.1t3h5sf" w:id="11"/>
      <w:bookmarkEnd w:id="11"/>
      <w:r w:rsidDel="00000000" w:rsidR="00000000" w:rsidRPr="00000000">
        <w:rPr>
          <w:sz w:val="24"/>
          <w:szCs w:val="24"/>
          <w:rtl w:val="0"/>
        </w:rPr>
        <w:t xml:space="preserve">Search strategy </w:t>
      </w:r>
    </w:p>
    <w:p w:rsidR="00000000" w:rsidDel="00000000" w:rsidP="00000000" w:rsidRDefault="00000000" w:rsidRPr="00000000" w14:paraId="0000005E">
      <w:pPr>
        <w:rPr/>
      </w:pPr>
      <w:r w:rsidDel="00000000" w:rsidR="00000000" w:rsidRPr="00000000">
        <w:rPr>
          <w:rtl w:val="0"/>
        </w:rPr>
        <w:t xml:space="preserve">The search strategy for this scoping review </w:t>
      </w:r>
      <w:r w:rsidDel="00000000" w:rsidR="00000000" w:rsidRPr="00000000">
        <w:rPr>
          <w:rtl w:val="0"/>
        </w:rPr>
        <w:t xml:space="preserve">will be</w:t>
      </w:r>
      <w:r w:rsidDel="00000000" w:rsidR="00000000" w:rsidRPr="00000000">
        <w:rPr>
          <w:rtl w:val="0"/>
        </w:rPr>
        <w:t xml:space="preserve"> developed in accordance with the PRISMA-S extension and Joanna Briggs Institute Evidence Synthesis recommendations (Peters et al., 2020; Rethlefsen et al., 2021). In order to establish a relevant search strategy, </w:t>
      </w:r>
      <w:r w:rsidDel="00000000" w:rsidR="00000000" w:rsidRPr="00000000">
        <w:rPr>
          <w:color w:val="000000"/>
          <w:rtl w:val="0"/>
        </w:rPr>
        <w:t xml:space="preserve">an initial search of Ovid MEDLINE and CINAHL </w:t>
      </w:r>
      <w:r w:rsidDel="00000000" w:rsidR="00000000" w:rsidRPr="00000000">
        <w:rPr>
          <w:rtl w:val="0"/>
        </w:rPr>
        <w:t xml:space="preserve">was </w:t>
      </w:r>
      <w:r w:rsidDel="00000000" w:rsidR="00000000" w:rsidRPr="00000000">
        <w:rPr>
          <w:color w:val="000000"/>
          <w:rtl w:val="0"/>
        </w:rPr>
        <w:t xml:space="preserve">completed to identify key terms used in article titles and abstracts of</w:t>
      </w:r>
      <w:r w:rsidDel="00000000" w:rsidR="00000000" w:rsidRPr="00000000">
        <w:rPr>
          <w:rtl w:val="0"/>
        </w:rPr>
        <w:t xml:space="preserve"> studies focusing on the TGDNB population</w:t>
      </w:r>
      <w:r w:rsidDel="00000000" w:rsidR="00000000" w:rsidRPr="00000000">
        <w:rPr>
          <w:color w:val="000000"/>
          <w:rtl w:val="0"/>
        </w:rPr>
        <w:t xml:space="preserve">. Th</w:t>
      </w:r>
      <w:r w:rsidDel="00000000" w:rsidR="00000000" w:rsidRPr="00000000">
        <w:rPr>
          <w:rtl w:val="0"/>
        </w:rPr>
        <w:t xml:space="preserve">e text words found were employed to generate a full pilot search strategy for Ovid MEDLINE, CINAHL, Scopus and Ovid Emcare (see Appendices I-IV). </w:t>
      </w:r>
      <w:r w:rsidDel="00000000" w:rsidR="00000000" w:rsidRPr="00000000">
        <w:rPr>
          <w:color w:val="000000"/>
          <w:rtl w:val="0"/>
        </w:rPr>
        <w:t xml:space="preserve">Terms and headings will, where necessary, be converted to accommodate functional differences between databases. Subject headings will be used where possible. </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color w:val="000000"/>
          <w:rtl w:val="0"/>
        </w:rPr>
        <w:t xml:space="preserve">The literature search for the scoping review will be conducted across 4 electronic databases Ovid MEDLINE, CINAHL, Scopus and Ovid Emcare. These databases have been selected for their collaborative ability to yield a collection of papers that are specific to the research topic.</w:t>
      </w:r>
      <w:r w:rsidDel="00000000" w:rsidR="00000000" w:rsidRPr="00000000">
        <w:rPr>
          <w:rtl w:val="0"/>
        </w:rPr>
        <w:t xml:space="preserve"> </w:t>
      </w:r>
      <w:r w:rsidDel="00000000" w:rsidR="00000000" w:rsidRPr="00000000">
        <w:rPr>
          <w:color w:val="000000"/>
          <w:rtl w:val="0"/>
        </w:rPr>
        <w:t xml:space="preserve">The advice of an academic librarian will be sought to refine the database search and search terms for maximum rigour and effectiveness. Searches will be restricted to English language as translated texts may not capture the nuances of TGDNB experiences that original papers do (Polkinghorne, 2005)</w:t>
      </w:r>
      <w:r w:rsidDel="00000000" w:rsidR="00000000" w:rsidRPr="00000000">
        <w:rPr>
          <w:color w:val="000000"/>
          <w:rtl w:val="0"/>
        </w:rPr>
        <w:t xml:space="preserve">.</w:t>
      </w:r>
      <w:r w:rsidDel="00000000" w:rsidR="00000000" w:rsidRPr="00000000">
        <w:rPr>
          <w:color w:val="000000"/>
          <w:rtl w:val="0"/>
        </w:rPr>
        <w:t xml:space="preserve"> A date limit of 200</w:t>
      </w:r>
      <w:r w:rsidDel="00000000" w:rsidR="00000000" w:rsidRPr="00000000">
        <w:rPr>
          <w:rtl w:val="0"/>
        </w:rPr>
        <w:t xml:space="preserve">0 to present will be set. This is in order to document the most current literature. Language in the TGDNB space has changed significantly over the past 20-40 years as have attitudes towards TGDNB patients.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bookmarkStart w:colFirst="0" w:colLast="0" w:name="_heading=h.4d34og8" w:id="12"/>
      <w:bookmarkEnd w:id="12"/>
      <w:r w:rsidDel="00000000" w:rsidR="00000000" w:rsidRPr="00000000">
        <w:rPr>
          <w:rtl w:val="0"/>
        </w:rPr>
        <w:t xml:space="preserve">A 2-part grey literature search will also be conducted. It is hoped that a grey literature search will assist in answering the second scoping review question ‘</w:t>
      </w:r>
      <w:r w:rsidDel="00000000" w:rsidR="00000000" w:rsidRPr="00000000">
        <w:rPr>
          <w:rFonts w:ascii="Helvetica Neue" w:cs="Helvetica Neue" w:eastAsia="Helvetica Neue" w:hAnsi="Helvetica Neue"/>
          <w:rtl w:val="0"/>
        </w:rPr>
        <w:t xml:space="preserve">What are the clinical practice recommendations or guidelines that exist to guide allied health professionals regarding clinical interactions with TGDNB individuals?’ </w:t>
      </w:r>
      <w:r w:rsidDel="00000000" w:rsidR="00000000" w:rsidRPr="00000000">
        <w:rPr>
          <w:color w:val="000000"/>
          <w:rtl w:val="0"/>
        </w:rPr>
        <w:t xml:space="preserve">Google Scholar will be searched using the terms ‘allied health’ and ‘</w:t>
      </w:r>
      <w:r w:rsidDel="00000000" w:rsidR="00000000" w:rsidRPr="00000000">
        <w:rPr>
          <w:color w:val="000000"/>
          <w:rtl w:val="0"/>
        </w:rPr>
        <w:t xml:space="preserve">transgender</w:t>
      </w:r>
      <w:r w:rsidDel="00000000" w:rsidR="00000000" w:rsidRPr="00000000">
        <w:rPr>
          <w:color w:val="000000"/>
          <w:rtl w:val="0"/>
        </w:rPr>
        <w:t xml:space="preserve">’. The first 25 papers will be screened for possible inclusion. The second grey literature search will be carried out in </w:t>
      </w:r>
      <w:r w:rsidDel="00000000" w:rsidR="00000000" w:rsidRPr="00000000">
        <w:rPr>
          <w:color w:val="000000"/>
          <w:rtl w:val="0"/>
        </w:rPr>
        <w:t xml:space="preserve">OpenGrey, a </w:t>
      </w:r>
      <w:r w:rsidDel="00000000" w:rsidR="00000000" w:rsidRPr="00000000">
        <w:rPr>
          <w:rtl w:val="0"/>
        </w:rPr>
        <w:t xml:space="preserve">multidisciplinary</w:t>
      </w:r>
      <w:r w:rsidDel="00000000" w:rsidR="00000000" w:rsidRPr="00000000">
        <w:rPr>
          <w:color w:val="000000"/>
          <w:rtl w:val="0"/>
        </w:rPr>
        <w:t xml:space="preserve"> </w:t>
      </w:r>
      <w:r w:rsidDel="00000000" w:rsidR="00000000" w:rsidRPr="00000000">
        <w:rPr>
          <w:rtl w:val="0"/>
        </w:rPr>
        <w:t xml:space="preserve">grey literature database using t</w:t>
      </w:r>
      <w:r w:rsidDel="00000000" w:rsidR="00000000" w:rsidRPr="00000000">
        <w:rPr>
          <w:color w:val="000000"/>
          <w:rtl w:val="0"/>
        </w:rPr>
        <w:t xml:space="preserve">he singular term ‘</w:t>
      </w:r>
      <w:r w:rsidDel="00000000" w:rsidR="00000000" w:rsidRPr="00000000">
        <w:rPr>
          <w:rtl w:val="0"/>
        </w:rPr>
        <w:t xml:space="preserve">t</w:t>
      </w:r>
      <w:r w:rsidDel="00000000" w:rsidR="00000000" w:rsidRPr="00000000">
        <w:rPr>
          <w:color w:val="000000"/>
          <w:rtl w:val="0"/>
        </w:rPr>
        <w:t xml:space="preserve">ransgender’</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63">
      <w:pPr>
        <w:pStyle w:val="Heading1"/>
        <w:rPr>
          <w:sz w:val="24"/>
          <w:szCs w:val="24"/>
        </w:rPr>
      </w:pPr>
      <w:bookmarkStart w:colFirst="0" w:colLast="0" w:name="_heading=h.3rdcrjn" w:id="13"/>
      <w:bookmarkEnd w:id="13"/>
      <w:r w:rsidDel="00000000" w:rsidR="00000000" w:rsidRPr="00000000">
        <w:rPr>
          <w:sz w:val="24"/>
          <w:szCs w:val="24"/>
          <w:rtl w:val="0"/>
        </w:rPr>
        <w:t xml:space="preserve">Selection of studies</w:t>
      </w:r>
    </w:p>
    <w:p w:rsidR="00000000" w:rsidDel="00000000" w:rsidP="00000000" w:rsidRDefault="00000000" w:rsidRPr="00000000" w14:paraId="00000064">
      <w:pPr>
        <w:rPr/>
      </w:pPr>
      <w:r w:rsidDel="00000000" w:rsidR="00000000" w:rsidRPr="00000000">
        <w:rPr>
          <w:rtl w:val="0"/>
        </w:rPr>
        <w:t xml:space="preserve">Search results will be exported to individual Endnote libraries and then combined, where duplicates will be removed. One reviewer (JC) will </w:t>
      </w:r>
      <w:r w:rsidDel="00000000" w:rsidR="00000000" w:rsidRPr="00000000">
        <w:rPr>
          <w:rtl w:val="0"/>
        </w:rPr>
        <w:t xml:space="preserve">assess</w:t>
      </w:r>
      <w:r w:rsidDel="00000000" w:rsidR="00000000" w:rsidRPr="00000000">
        <w:rPr>
          <w:rtl w:val="0"/>
        </w:rPr>
        <w:t xml:space="preserve"> whether the articles are eligible for inclusion based on title and abstract in accordance with the pre-agreed upon the inclusion and exclusion </w:t>
      </w:r>
      <w:r w:rsidDel="00000000" w:rsidR="00000000" w:rsidRPr="00000000">
        <w:rPr>
          <w:rtl w:val="0"/>
        </w:rPr>
        <w:t xml:space="preserve">criteria</w:t>
      </w:r>
      <w:r w:rsidDel="00000000" w:rsidR="00000000" w:rsidRPr="00000000">
        <w:rPr>
          <w:rtl w:val="0"/>
        </w:rPr>
        <w:t xml:space="preserve"> for the review detailed in this protocol. The full texts of the potentially eligible articles will be sourced</w:t>
      </w:r>
      <w:r w:rsidDel="00000000" w:rsidR="00000000" w:rsidRPr="00000000">
        <w:rPr>
          <w:rtl w:val="0"/>
        </w:rPr>
        <w:t xml:space="preserve">.</w:t>
      </w:r>
      <w:r w:rsidDel="00000000" w:rsidR="00000000" w:rsidRPr="00000000">
        <w:rPr>
          <w:rtl w:val="0"/>
        </w:rPr>
        <w:t xml:space="preserve"> These full texts will be screened by one reviewer (JC).For quality purposes </w:t>
      </w:r>
      <w:r w:rsidDel="00000000" w:rsidR="00000000" w:rsidRPr="00000000">
        <w:rPr>
          <w:rtl w:val="0"/>
        </w:rPr>
        <w:t xml:space="preserve">random inspection </w:t>
      </w:r>
      <w:r w:rsidDel="00000000" w:rsidR="00000000" w:rsidRPr="00000000">
        <w:rPr>
          <w:rtl w:val="0"/>
        </w:rPr>
        <w:t xml:space="preserve">will be completed, during both title and abstract and full text screening stages, by 2 independent reviewers (RL, CO). For papers not eligible for inclusion after full text screening reasons for exclusion will be recorded and reported within the scoping review. Disagreements between authors at any level of screening will be resolved through discussion. The results of the search and screening process will be described in full and presented in the final scoping review in a Preferred Reporting Items for Systematic Reviews and Meta-analyses extension for scoping review (PRISMA-ScR) flow diagram </w:t>
      </w:r>
      <w:r w:rsidDel="00000000" w:rsidR="00000000" w:rsidRPr="00000000">
        <w:rPr>
          <w:rtl w:val="0"/>
        </w:rPr>
        <w:t xml:space="preserve">(Tricco et al., </w:t>
      </w:r>
      <w:r w:rsidDel="00000000" w:rsidR="00000000" w:rsidRPr="00000000">
        <w:rPr>
          <w:rtl w:val="0"/>
        </w:rPr>
        <w:t xml:space="preserve">2018</w:t>
      </w:r>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5">
      <w:pPr>
        <w:pStyle w:val="Heading1"/>
        <w:rPr>
          <w:sz w:val="24"/>
          <w:szCs w:val="24"/>
        </w:rPr>
      </w:pPr>
      <w:bookmarkStart w:colFirst="0" w:colLast="0" w:name="_heading=h.26in1rg" w:id="14"/>
      <w:bookmarkEnd w:id="14"/>
      <w:r w:rsidDel="00000000" w:rsidR="00000000" w:rsidRPr="00000000">
        <w:rPr>
          <w:sz w:val="24"/>
          <w:szCs w:val="24"/>
          <w:rtl w:val="0"/>
        </w:rPr>
        <w:t xml:space="preserve">Data extraction</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Following the study selection process, data will be extracted from papers that will be included in the scoping review by one reviewer (JC). The data extracted will be included in two tables created by authors (See Table 1 and Table 2). Table 1 will include authors, title, year of publication, country of publication, study design, allied health professionals, TGDNB population, setting e.g., hospital, outpatient clinic etc. Table 2 will include the study’s aims, intervention/comparator (including duration, timing etc), outcome measures and key findings that relate to the scoping review questions. These tables will be modified as necessary during the extraction process to provide a comprehensive overview of all included studies. Any changes made to the table will be detailed in the full scoping review. Charting the data will be an iterative process and any disagreements that arise will be resolved by discussion or through the involvement of a third reviewer</w:t>
      </w:r>
      <w:r w:rsidDel="00000000" w:rsidR="00000000" w:rsidRPr="00000000">
        <w:rPr>
          <w:rtl w:val="0"/>
        </w:rPr>
        <w:t xml:space="preserve">.</w:t>
      </w:r>
      <w:r w:rsidDel="00000000" w:rsidR="00000000" w:rsidRPr="00000000">
        <w:rPr>
          <w:rtl w:val="0"/>
        </w:rPr>
        <w:t xml:space="preserve"> If appropriate authors of papers will be contacted to request missing information as necessary.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Table 1 – data extraction </w:t>
      </w:r>
    </w:p>
    <w:tbl>
      <w:tblPr>
        <w:tblStyle w:val="Table2"/>
        <w:tblW w:w="9345.0" w:type="dxa"/>
        <w:jc w:val="left"/>
        <w:tblInd w:w="1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675"/>
        <w:gridCol w:w="1380"/>
        <w:gridCol w:w="1080"/>
        <w:gridCol w:w="975"/>
        <w:gridCol w:w="1695"/>
        <w:gridCol w:w="1380"/>
        <w:gridCol w:w="1170"/>
        <w:tblGridChange w:id="0">
          <w:tblGrid>
            <w:gridCol w:w="990"/>
            <w:gridCol w:w="675"/>
            <w:gridCol w:w="1380"/>
            <w:gridCol w:w="1080"/>
            <w:gridCol w:w="975"/>
            <w:gridCol w:w="1695"/>
            <w:gridCol w:w="1380"/>
            <w:gridCol w:w="1170"/>
          </w:tblGrid>
        </w:tblGridChange>
      </w:tblGrid>
      <w:tr>
        <w:trPr>
          <w:cantSplit w:val="0"/>
          <w:trHeight w:val="1128" w:hRule="atLeast"/>
          <w:tblHeader w:val="0"/>
        </w:trPr>
        <w:tc>
          <w:tcPr/>
          <w:p w:rsidR="00000000" w:rsidDel="00000000" w:rsidP="00000000" w:rsidRDefault="00000000" w:rsidRPr="00000000" w14:paraId="00000069">
            <w:pPr>
              <w:rPr>
                <w:color w:val="000000"/>
              </w:rPr>
            </w:pPr>
            <w:r w:rsidDel="00000000" w:rsidR="00000000" w:rsidRPr="00000000">
              <w:rPr>
                <w:color w:val="000000"/>
                <w:rtl w:val="0"/>
              </w:rPr>
              <w:t xml:space="preserve">Author </w:t>
            </w:r>
          </w:p>
        </w:tc>
        <w:tc>
          <w:tcPr/>
          <w:p w:rsidR="00000000" w:rsidDel="00000000" w:rsidP="00000000" w:rsidRDefault="00000000" w:rsidRPr="00000000" w14:paraId="0000006A">
            <w:pPr>
              <w:rPr>
                <w:color w:val="000000"/>
              </w:rPr>
            </w:pPr>
            <w:r w:rsidDel="00000000" w:rsidR="00000000" w:rsidRPr="00000000">
              <w:rPr>
                <w:color w:val="000000"/>
                <w:rtl w:val="0"/>
              </w:rPr>
              <w:t xml:space="preserve">Title </w:t>
            </w:r>
          </w:p>
        </w:tc>
        <w:tc>
          <w:tcPr/>
          <w:p w:rsidR="00000000" w:rsidDel="00000000" w:rsidP="00000000" w:rsidRDefault="00000000" w:rsidRPr="00000000" w14:paraId="0000006B">
            <w:pPr>
              <w:rPr>
                <w:color w:val="000000"/>
              </w:rPr>
            </w:pPr>
            <w:r w:rsidDel="00000000" w:rsidR="00000000" w:rsidRPr="00000000">
              <w:rPr>
                <w:color w:val="000000"/>
                <w:rtl w:val="0"/>
              </w:rPr>
              <w:t xml:space="preserve">Year of publication</w:t>
            </w:r>
          </w:p>
        </w:tc>
        <w:tc>
          <w:tcPr/>
          <w:p w:rsidR="00000000" w:rsidDel="00000000" w:rsidP="00000000" w:rsidRDefault="00000000" w:rsidRPr="00000000" w14:paraId="0000006C">
            <w:pPr>
              <w:rPr>
                <w:color w:val="000000"/>
              </w:rPr>
            </w:pPr>
            <w:r w:rsidDel="00000000" w:rsidR="00000000" w:rsidRPr="00000000">
              <w:rPr>
                <w:color w:val="000000"/>
                <w:rtl w:val="0"/>
              </w:rPr>
              <w:t xml:space="preserve">Country</w:t>
            </w:r>
          </w:p>
        </w:tc>
        <w:tc>
          <w:tcPr/>
          <w:p w:rsidR="00000000" w:rsidDel="00000000" w:rsidP="00000000" w:rsidRDefault="00000000" w:rsidRPr="00000000" w14:paraId="0000006D">
            <w:pPr>
              <w:rPr>
                <w:color w:val="000000"/>
              </w:rPr>
            </w:pPr>
            <w:r w:rsidDel="00000000" w:rsidR="00000000" w:rsidRPr="00000000">
              <w:rPr>
                <w:color w:val="000000"/>
                <w:rtl w:val="0"/>
              </w:rPr>
              <w:t xml:space="preserve">Study design</w:t>
            </w:r>
          </w:p>
        </w:tc>
        <w:tc>
          <w:tcPr/>
          <w:p w:rsidR="00000000" w:rsidDel="00000000" w:rsidP="00000000" w:rsidRDefault="00000000" w:rsidRPr="00000000" w14:paraId="0000006E">
            <w:pPr>
              <w:rPr>
                <w:color w:val="000000"/>
              </w:rPr>
            </w:pPr>
            <w:r w:rsidDel="00000000" w:rsidR="00000000" w:rsidRPr="00000000">
              <w:rPr>
                <w:color w:val="000000"/>
                <w:rtl w:val="0"/>
              </w:rPr>
              <w:t xml:space="preserve">Allied health professional</w:t>
            </w:r>
            <w:r w:rsidDel="00000000" w:rsidR="00000000" w:rsidRPr="00000000">
              <w:rPr>
                <w:color w:val="000000"/>
                <w:rtl w:val="0"/>
              </w:rPr>
              <w:t xml:space="preserve">s</w:t>
            </w:r>
            <w:r w:rsidDel="00000000" w:rsidR="00000000" w:rsidRPr="00000000">
              <w:rPr>
                <w:rtl w:val="0"/>
              </w:rPr>
            </w:r>
          </w:p>
        </w:tc>
        <w:tc>
          <w:tcPr/>
          <w:p w:rsidR="00000000" w:rsidDel="00000000" w:rsidP="00000000" w:rsidRDefault="00000000" w:rsidRPr="00000000" w14:paraId="0000006F">
            <w:pPr>
              <w:rPr>
                <w:color w:val="000000"/>
              </w:rPr>
            </w:pPr>
            <w:r w:rsidDel="00000000" w:rsidR="00000000" w:rsidRPr="00000000">
              <w:rPr>
                <w:color w:val="000000"/>
                <w:rtl w:val="0"/>
              </w:rPr>
              <w:t xml:space="preserve">TGDNB populatio</w:t>
            </w:r>
            <w:r w:rsidDel="00000000" w:rsidR="00000000" w:rsidRPr="00000000">
              <w:rPr>
                <w:color w:val="000000"/>
                <w:rtl w:val="0"/>
              </w:rPr>
              <w:t xml:space="preserve">n</w:t>
            </w:r>
            <w:r w:rsidDel="00000000" w:rsidR="00000000" w:rsidRPr="00000000">
              <w:rPr>
                <w:rtl w:val="0"/>
              </w:rPr>
            </w:r>
          </w:p>
        </w:tc>
        <w:tc>
          <w:tcPr/>
          <w:p w:rsidR="00000000" w:rsidDel="00000000" w:rsidP="00000000" w:rsidRDefault="00000000" w:rsidRPr="00000000" w14:paraId="00000070">
            <w:pPr>
              <w:rPr>
                <w:color w:val="000000"/>
              </w:rPr>
            </w:pPr>
            <w:r w:rsidDel="00000000" w:rsidR="00000000" w:rsidRPr="00000000">
              <w:rPr>
                <w:color w:val="000000"/>
                <w:rtl w:val="0"/>
              </w:rPr>
              <w:t xml:space="preserve">Setting</w:t>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tabs>
          <w:tab w:val="left" w:pos="3960"/>
        </w:tabs>
        <w:rPr>
          <w:b w:val="1"/>
        </w:rPr>
      </w:pPr>
      <w:r w:rsidDel="00000000" w:rsidR="00000000" w:rsidRPr="00000000">
        <w:rPr>
          <w:rtl w:val="0"/>
        </w:rPr>
      </w:r>
    </w:p>
    <w:p w:rsidR="00000000" w:rsidDel="00000000" w:rsidP="00000000" w:rsidRDefault="00000000" w:rsidRPr="00000000" w14:paraId="00000073">
      <w:pPr>
        <w:tabs>
          <w:tab w:val="left" w:pos="3960"/>
        </w:tabs>
        <w:rPr/>
      </w:pPr>
      <w:r w:rsidDel="00000000" w:rsidR="00000000" w:rsidRPr="00000000">
        <w:rPr>
          <w:rtl w:val="0"/>
        </w:rPr>
        <w:t xml:space="preserve">Table 2 – data extraction </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7"/>
        <w:gridCol w:w="2751"/>
        <w:gridCol w:w="2111"/>
        <w:gridCol w:w="2107"/>
        <w:tblGridChange w:id="0">
          <w:tblGrid>
            <w:gridCol w:w="2047"/>
            <w:gridCol w:w="2751"/>
            <w:gridCol w:w="2111"/>
            <w:gridCol w:w="2107"/>
          </w:tblGrid>
        </w:tblGridChange>
      </w:tblGrid>
      <w:tr>
        <w:trPr>
          <w:cantSplit w:val="0"/>
          <w:tblHeader w:val="0"/>
        </w:trPr>
        <w:tc>
          <w:tcPr/>
          <w:p w:rsidR="00000000" w:rsidDel="00000000" w:rsidP="00000000" w:rsidRDefault="00000000" w:rsidRPr="00000000" w14:paraId="00000074">
            <w:pPr>
              <w:tabs>
                <w:tab w:val="left" w:pos="3960"/>
              </w:tabs>
              <w:rPr>
                <w:color w:val="000000"/>
              </w:rPr>
            </w:pPr>
            <w:r w:rsidDel="00000000" w:rsidR="00000000" w:rsidRPr="00000000">
              <w:rPr>
                <w:color w:val="000000"/>
                <w:rtl w:val="0"/>
              </w:rPr>
              <w:t xml:space="preserve">Study aims </w:t>
            </w:r>
            <w:r w:rsidDel="00000000" w:rsidR="00000000" w:rsidRPr="00000000">
              <w:rPr>
                <w:rtl w:val="0"/>
              </w:rPr>
            </w:r>
          </w:p>
        </w:tc>
        <w:tc>
          <w:tcPr/>
          <w:p w:rsidR="00000000" w:rsidDel="00000000" w:rsidP="00000000" w:rsidRDefault="00000000" w:rsidRPr="00000000" w14:paraId="00000075">
            <w:pPr>
              <w:tabs>
                <w:tab w:val="left" w:pos="3960"/>
              </w:tabs>
              <w:rPr>
                <w:color w:val="000000"/>
              </w:rPr>
            </w:pPr>
            <w:r w:rsidDel="00000000" w:rsidR="00000000" w:rsidRPr="00000000">
              <w:rPr>
                <w:color w:val="000000"/>
                <w:rtl w:val="0"/>
              </w:rPr>
              <w:t xml:space="preserve">Intervention/comparator (duration, timing etc)</w:t>
            </w:r>
          </w:p>
        </w:tc>
        <w:tc>
          <w:tcPr/>
          <w:p w:rsidR="00000000" w:rsidDel="00000000" w:rsidP="00000000" w:rsidRDefault="00000000" w:rsidRPr="00000000" w14:paraId="00000076">
            <w:pPr>
              <w:tabs>
                <w:tab w:val="left" w:pos="3960"/>
              </w:tabs>
              <w:rPr>
                <w:color w:val="000000"/>
              </w:rPr>
            </w:pPr>
            <w:r w:rsidDel="00000000" w:rsidR="00000000" w:rsidRPr="00000000">
              <w:rPr>
                <w:color w:val="000000"/>
                <w:rtl w:val="0"/>
              </w:rPr>
              <w:t xml:space="preserve">Outcome measures </w:t>
            </w:r>
            <w:r w:rsidDel="00000000" w:rsidR="00000000" w:rsidRPr="00000000">
              <w:rPr>
                <w:rtl w:val="0"/>
              </w:rPr>
            </w:r>
          </w:p>
        </w:tc>
        <w:tc>
          <w:tcPr/>
          <w:p w:rsidR="00000000" w:rsidDel="00000000" w:rsidP="00000000" w:rsidRDefault="00000000" w:rsidRPr="00000000" w14:paraId="00000077">
            <w:pPr>
              <w:tabs>
                <w:tab w:val="left" w:pos="3960"/>
              </w:tabs>
              <w:rPr>
                <w:color w:val="000000"/>
              </w:rPr>
            </w:pPr>
            <w:r w:rsidDel="00000000" w:rsidR="00000000" w:rsidRPr="00000000">
              <w:rPr>
                <w:color w:val="000000"/>
                <w:rtl w:val="0"/>
              </w:rPr>
              <w:t xml:space="preserve">Key findings that relate to the scoping review questions </w:t>
            </w: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pStyle w:val="Heading1"/>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sz w:val="24"/>
          <w:szCs w:val="24"/>
        </w:rPr>
      </w:pPr>
      <w:bookmarkStart w:colFirst="0" w:colLast="0" w:name="_heading=h.c1nv17ren31f" w:id="15"/>
      <w:bookmarkEnd w:id="15"/>
      <w:r w:rsidDel="00000000" w:rsidR="00000000" w:rsidRPr="00000000">
        <w:rPr>
          <w:sz w:val="24"/>
          <w:szCs w:val="24"/>
          <w:rtl w:val="0"/>
        </w:rPr>
        <w:t xml:space="preserve">Data synthesis</w:t>
      </w:r>
    </w:p>
    <w:p w:rsidR="00000000" w:rsidDel="00000000" w:rsidP="00000000" w:rsidRDefault="00000000" w:rsidRPr="00000000" w14:paraId="0000007A">
      <w:pPr>
        <w:rPr/>
      </w:pPr>
      <w:r w:rsidDel="00000000" w:rsidR="00000000" w:rsidRPr="00000000">
        <w:rPr>
          <w:rtl w:val="0"/>
        </w:rPr>
        <w:t xml:space="preserve">The results of this scoping review will be presented in two sections to represent the two review questions. The sections will both include a narrative synthesis. Information during the data extraction process will be synthesised and presented in tables and graphs where appropriate.</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Section 1 will attempt to answer the primary research question. This section will aim </w:t>
      </w:r>
      <w:r w:rsidDel="00000000" w:rsidR="00000000" w:rsidRPr="00000000">
        <w:rPr>
          <w:rtl w:val="0"/>
        </w:rPr>
        <w:t xml:space="preserve">to explore features </w:t>
      </w:r>
      <w:r w:rsidDel="00000000" w:rsidR="00000000" w:rsidRPr="00000000">
        <w:rPr>
          <w:rtl w:val="0"/>
        </w:rPr>
        <w:t xml:space="preserve">of healthcare encounters between allied health professionals and TGDNB individuals. Findings will be mapped under subheadings identified in the collated data of included studies. These will include the</w:t>
      </w:r>
      <w:r w:rsidDel="00000000" w:rsidR="00000000" w:rsidRPr="00000000">
        <w:rPr>
          <w:rtl w:val="0"/>
        </w:rPr>
        <w:t xml:space="preserve"> type of allied health professional(s) involved, reason(s) for seeking healthcare, patient care experience, and reports of any stigma and/or discrimination</w:t>
      </w: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Section 2 will attempt to answer the secondary research question. This section will aim to include a list of recommendations for allied health professionals</w:t>
      </w:r>
      <w:r w:rsidDel="00000000" w:rsidR="00000000" w:rsidRPr="00000000">
        <w:rPr>
          <w:rtl w:val="0"/>
        </w:rPr>
        <w:t xml:space="preserve">.</w:t>
      </w:r>
      <w:r w:rsidDel="00000000" w:rsidR="00000000" w:rsidRPr="00000000">
        <w:rPr>
          <w:rtl w:val="0"/>
        </w:rPr>
        <w:t xml:space="preserve"> As quality analysis of individual papers will not be undertaken. Credibility of recommendations will be primarily based on the number of papers putting forward that recommendation. It will also be noted whether the recommendation comes from the opinion of an allied health professional, a member of the TGDNB community or the author of the paper. If appropriate recommendations for specific groups of allied health professions may be included. </w:t>
      </w:r>
      <w:r w:rsidDel="00000000" w:rsidR="00000000" w:rsidRPr="00000000">
        <w:rPr>
          <w:rtl w:val="0"/>
        </w:rPr>
      </w:r>
    </w:p>
    <w:p w:rsidR="00000000" w:rsidDel="00000000" w:rsidP="00000000" w:rsidRDefault="00000000" w:rsidRPr="00000000" w14:paraId="0000007F">
      <w:pPr>
        <w:pStyle w:val="Heading1"/>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sz w:val="24"/>
          <w:szCs w:val="24"/>
        </w:rPr>
      </w:pPr>
      <w:bookmarkStart w:colFirst="0" w:colLast="0" w:name="_heading=h.u764onp5c93h" w:id="16"/>
      <w:bookmarkEnd w:id="16"/>
      <w:r w:rsidDel="00000000" w:rsidR="00000000" w:rsidRPr="00000000">
        <w:rPr>
          <w:sz w:val="24"/>
          <w:szCs w:val="24"/>
          <w:rtl w:val="0"/>
        </w:rPr>
        <w:t xml:space="preserve">Consideration of bias</w:t>
      </w:r>
    </w:p>
    <w:p w:rsidR="00000000" w:rsidDel="00000000" w:rsidP="00000000" w:rsidRDefault="00000000" w:rsidRPr="00000000" w14:paraId="00000080">
      <w:pPr>
        <w:rPr/>
      </w:pPr>
      <w:r w:rsidDel="00000000" w:rsidR="00000000" w:rsidRPr="00000000">
        <w:rPr>
          <w:rtl w:val="0"/>
        </w:rPr>
        <w:t xml:space="preserve">Quality appraisal will not be undertaken in line with common practice for scoping reviews and to allow for a maximally inclusive search yield (Munn et al., 2018). We will follow the methods outlined in this protocol and justify and report any deviations from protocol in the review to minimise reporting bias. </w:t>
      </w: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This scoping review will use publicly accessible documents and will not collect deeply personal or confidential information directly from individuals. As a result, institutional ethics approval was not sought before commencing this scoping review.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A reflexivity statement will be included to highlight the issues of representation and voice that impact this review. Informal community consultation by 2 members of the TGDNB community  will be completed and suggested edits will be taken into consideration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5">
      <w:pPr>
        <w:rPr>
          <w:i w:val="1"/>
        </w:rPr>
      </w:pPr>
      <w:r w:rsidDel="00000000" w:rsidR="00000000" w:rsidRPr="00000000">
        <w:rPr>
          <w:rtl w:val="0"/>
        </w:rPr>
      </w:r>
    </w:p>
    <w:p w:rsidR="00000000" w:rsidDel="00000000" w:rsidP="00000000" w:rsidRDefault="00000000" w:rsidRPr="00000000" w14:paraId="00000086">
      <w:pPr>
        <w:pStyle w:val="Heading1"/>
        <w:rPr/>
      </w:pPr>
      <w:bookmarkStart w:colFirst="0" w:colLast="0" w:name="_heading=h.z337ya" w:id="17"/>
      <w:bookmarkEnd w:id="17"/>
      <w:r w:rsidDel="00000000" w:rsidR="00000000" w:rsidRPr="00000000">
        <w:rPr>
          <w:rtl w:val="0"/>
        </w:rPr>
        <w:t xml:space="preserve">Milestones</w:t>
      </w: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A timeline for the completion of this scoping review is detailed below in table 4.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i w:val="1"/>
        </w:rPr>
      </w:pPr>
      <w:r w:rsidDel="00000000" w:rsidR="00000000" w:rsidRPr="00000000">
        <w:rPr>
          <w:i w:val="1"/>
          <w:rtl w:val="0"/>
        </w:rPr>
        <w:t xml:space="preserve">Table 4 </w:t>
      </w:r>
      <w:r w:rsidDel="00000000" w:rsidR="00000000" w:rsidRPr="00000000">
        <w:rPr>
          <w:rtl w:val="0"/>
        </w:rPr>
      </w:r>
    </w:p>
    <w:tbl>
      <w:tblPr>
        <w:tblStyle w:val="Table4"/>
        <w:tblW w:w="9210.0"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4200"/>
        <w:gridCol w:w="5010"/>
        <w:tblGridChange w:id="0">
          <w:tblGrid>
            <w:gridCol w:w="4200"/>
            <w:gridCol w:w="50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A">
            <w:pPr>
              <w:rPr>
                <w:color w:val="000000"/>
              </w:rPr>
            </w:pPr>
            <w:r w:rsidDel="00000000" w:rsidR="00000000" w:rsidRPr="00000000">
              <w:rPr>
                <w:color w:val="000000"/>
                <w:rtl w:val="0"/>
              </w:rPr>
              <w:t xml:space="preserve">Task</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B">
            <w:pPr>
              <w:rPr>
                <w:color w:val="000000"/>
              </w:rPr>
            </w:pPr>
            <w:r w:rsidDel="00000000" w:rsidR="00000000" w:rsidRPr="00000000">
              <w:rPr>
                <w:color w:val="000000"/>
                <w:rtl w:val="0"/>
              </w:rPr>
              <w:t xml:space="preserve">Date of estimated completion 2021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C">
            <w:pPr>
              <w:rPr>
                <w:b w:val="0"/>
                <w:color w:val="000000"/>
              </w:rPr>
            </w:pPr>
            <w:r w:rsidDel="00000000" w:rsidR="00000000" w:rsidRPr="00000000">
              <w:rPr>
                <w:b w:val="0"/>
                <w:color w:val="000000"/>
                <w:rtl w:val="0"/>
              </w:rPr>
              <w:t xml:space="preserve">Preparation of draft protocol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D">
            <w:pPr>
              <w:rPr>
                <w:color w:val="000000"/>
              </w:rPr>
            </w:pPr>
            <w:r w:rsidDel="00000000" w:rsidR="00000000" w:rsidRPr="00000000">
              <w:rPr>
                <w:color w:val="000000"/>
                <w:rtl w:val="0"/>
              </w:rPr>
              <w:t xml:space="preserve">June</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b w:val="0"/>
                <w:color w:val="000000"/>
              </w:rPr>
            </w:pPr>
            <w:r w:rsidDel="00000000" w:rsidR="00000000" w:rsidRPr="00000000">
              <w:rPr>
                <w:b w:val="0"/>
                <w:color w:val="000000"/>
                <w:rtl w:val="0"/>
              </w:rPr>
              <w:t xml:space="preserve">Run pilot searches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color w:val="000000"/>
              </w:rPr>
            </w:pPr>
            <w:r w:rsidDel="00000000" w:rsidR="00000000" w:rsidRPr="00000000">
              <w:rPr>
                <w:color w:val="000000"/>
                <w:rtl w:val="0"/>
              </w:rPr>
              <w:t xml:space="preserve">July</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0">
            <w:pPr>
              <w:rPr>
                <w:b w:val="0"/>
                <w:color w:val="000000"/>
              </w:rPr>
            </w:pPr>
            <w:r w:rsidDel="00000000" w:rsidR="00000000" w:rsidRPr="00000000">
              <w:rPr>
                <w:b w:val="0"/>
                <w:color w:val="000000"/>
                <w:rtl w:val="0"/>
              </w:rPr>
              <w:t xml:space="preserve">Pilot test eligibility criteria</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1">
            <w:pPr>
              <w:rPr/>
            </w:pPr>
            <w:r w:rsidDel="00000000" w:rsidR="00000000" w:rsidRPr="00000000">
              <w:rPr>
                <w:rtl w:val="0"/>
              </w:rPr>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b w:val="0"/>
                <w:color w:val="000000"/>
              </w:rPr>
            </w:pPr>
            <w:r w:rsidDel="00000000" w:rsidR="00000000" w:rsidRPr="00000000">
              <w:rPr>
                <w:b w:val="0"/>
                <w:color w:val="000000"/>
                <w:rtl w:val="0"/>
              </w:rPr>
              <w:t xml:space="preserve">Implement database searches </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color w:val="000000"/>
              </w:rPr>
            </w:pPr>
            <w:r w:rsidDel="00000000" w:rsidR="00000000" w:rsidRPr="00000000">
              <w:rPr>
                <w:color w:val="000000"/>
                <w:rtl w:val="0"/>
              </w:rPr>
              <w:t xml:space="preserve">September </w:t>
            </w:r>
          </w:p>
        </w:tc>
      </w:tr>
      <w:tr>
        <w:trPr>
          <w:cantSplit w:val="0"/>
          <w:trHeight w:val="315"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4">
            <w:pPr>
              <w:rPr>
                <w:b w:val="0"/>
                <w:color w:val="000000"/>
              </w:rPr>
            </w:pPr>
            <w:r w:rsidDel="00000000" w:rsidR="00000000" w:rsidRPr="00000000">
              <w:rPr>
                <w:b w:val="0"/>
                <w:color w:val="000000"/>
                <w:rtl w:val="0"/>
              </w:rPr>
              <w:t xml:space="preserve">Data screening </w:t>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5">
            <w:pPr>
              <w:rPr/>
            </w:pPr>
            <w:r w:rsidDel="00000000" w:rsidR="00000000" w:rsidRPr="00000000">
              <w:rPr>
                <w:rtl w:val="0"/>
              </w:rPr>
              <w:t xml:space="preserve">x</w:t>
            </w:r>
          </w:p>
        </w:tc>
      </w:tr>
      <w:tr>
        <w:trPr>
          <w:cantSplit w:val="0"/>
          <w:trHeight w:val="3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b w:val="0"/>
                <w:color w:val="000000"/>
              </w:rPr>
            </w:pPr>
            <w:r w:rsidDel="00000000" w:rsidR="00000000" w:rsidRPr="00000000">
              <w:rPr>
                <w:b w:val="0"/>
                <w:color w:val="000000"/>
                <w:rtl w:val="0"/>
              </w:rPr>
              <w:t xml:space="preserve">Data extraction &amp; synthesis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color w:val="000000"/>
              </w:rPr>
            </w:pPr>
            <w:r w:rsidDel="00000000" w:rsidR="00000000" w:rsidRPr="00000000">
              <w:rPr>
                <w:color w:val="000000"/>
                <w:rtl w:val="0"/>
              </w:rPr>
              <w:t xml:space="preserve">October - November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8">
            <w:pPr>
              <w:rPr>
                <w:b w:val="0"/>
                <w:color w:val="000000"/>
              </w:rPr>
            </w:pPr>
            <w:r w:rsidDel="00000000" w:rsidR="00000000" w:rsidRPr="00000000">
              <w:rPr>
                <w:b w:val="0"/>
                <w:color w:val="000000"/>
                <w:rtl w:val="0"/>
              </w:rPr>
              <w:t xml:space="preserve">Draft manuscript writing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99">
            <w:pPr>
              <w:rPr>
                <w:color w:val="000000"/>
              </w:rPr>
            </w:pPr>
            <w:r w:rsidDel="00000000" w:rsidR="00000000" w:rsidRPr="00000000">
              <w:rPr>
                <w:color w:val="000000"/>
                <w:rtl w:val="0"/>
              </w:rPr>
              <w:t xml:space="preserve">November</w:t>
            </w:r>
          </w:p>
        </w:tc>
      </w:tr>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b w:val="0"/>
                <w:color w:val="000000"/>
              </w:rPr>
            </w:pPr>
            <w:r w:rsidDel="00000000" w:rsidR="00000000" w:rsidRPr="00000000">
              <w:rPr>
                <w:b w:val="0"/>
                <w:color w:val="000000"/>
                <w:rtl w:val="0"/>
              </w:rPr>
              <w:t xml:space="preserve">Submission to journal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rPr>
                <w:color w:val="000000"/>
              </w:rPr>
            </w:pPr>
            <w:r w:rsidDel="00000000" w:rsidR="00000000" w:rsidRPr="00000000">
              <w:rPr>
                <w:color w:val="000000"/>
                <w:rtl w:val="0"/>
              </w:rPr>
              <w:t xml:space="preserve">December </w:t>
            </w:r>
          </w:p>
        </w:tc>
      </w:tr>
    </w:tb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pStyle w:val="Heading1"/>
        <w:rPr/>
      </w:pPr>
      <w:bookmarkStart w:colFirst="0" w:colLast="0" w:name="_heading=h.tvimlv1i0xf1" w:id="18"/>
      <w:bookmarkEnd w:id="18"/>
      <w:r w:rsidDel="00000000" w:rsidR="00000000" w:rsidRPr="00000000">
        <w:rPr>
          <w:rtl w:val="0"/>
        </w:rPr>
        <w:t xml:space="preserve">Acknowledgements </w:t>
      </w:r>
    </w:p>
    <w:p w:rsidR="00000000" w:rsidDel="00000000" w:rsidP="00000000" w:rsidRDefault="00000000" w:rsidRPr="00000000" w14:paraId="0000009E">
      <w:pPr>
        <w:rPr/>
      </w:pPr>
      <w:r w:rsidDel="00000000" w:rsidR="00000000" w:rsidRPr="00000000">
        <w:rPr>
          <w:rtl w:val="0"/>
        </w:rPr>
        <w:t xml:space="preserve">Nil.</w:t>
      </w:r>
    </w:p>
    <w:p w:rsidR="00000000" w:rsidDel="00000000" w:rsidP="00000000" w:rsidRDefault="00000000" w:rsidRPr="00000000" w14:paraId="0000009F">
      <w:pPr>
        <w:pStyle w:val="Heading1"/>
        <w:rPr/>
      </w:pPr>
      <w:bookmarkStart w:colFirst="0" w:colLast="0" w:name="_heading=h.irn799if8akj" w:id="19"/>
      <w:bookmarkEnd w:id="19"/>
      <w:r w:rsidDel="00000000" w:rsidR="00000000" w:rsidRPr="00000000">
        <w:rPr>
          <w:rtl w:val="0"/>
        </w:rPr>
        <w:t xml:space="preserve">Funding </w:t>
      </w:r>
    </w:p>
    <w:p w:rsidR="00000000" w:rsidDel="00000000" w:rsidP="00000000" w:rsidRDefault="00000000" w:rsidRPr="00000000" w14:paraId="000000A0">
      <w:pPr>
        <w:rPr/>
      </w:pPr>
      <w:r w:rsidDel="00000000" w:rsidR="00000000" w:rsidRPr="00000000">
        <w:rPr>
          <w:rtl w:val="0"/>
        </w:rPr>
        <w:t xml:space="preserve">Nil.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pPr>
      <w:bookmarkStart w:colFirst="0" w:colLast="0" w:name="_heading=h.1y810tw" w:id="20"/>
      <w:bookmarkEnd w:id="20"/>
      <w:r w:rsidDel="00000000" w:rsidR="00000000" w:rsidRPr="00000000">
        <w:br w:type="page"/>
      </w:r>
      <w:r w:rsidDel="00000000" w:rsidR="00000000" w:rsidRPr="00000000">
        <w:rPr>
          <w:rtl w:val="0"/>
        </w:rPr>
      </w:r>
    </w:p>
    <w:p w:rsidR="00000000" w:rsidDel="00000000" w:rsidP="00000000" w:rsidRDefault="00000000" w:rsidRPr="00000000" w14:paraId="000000A4">
      <w:pPr>
        <w:pStyle w:val="Heading1"/>
        <w:rPr/>
      </w:pPr>
      <w:bookmarkStart w:colFirst="0" w:colLast="0" w:name="_heading=h.ukuflrkioa3m" w:id="21"/>
      <w:bookmarkEnd w:id="21"/>
      <w:r w:rsidDel="00000000" w:rsidR="00000000" w:rsidRPr="00000000">
        <w:rPr>
          <w:rtl w:val="0"/>
        </w:rPr>
        <w:t xml:space="preserve">References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Ålgars, M., Alanko, K., Santtila, P., &amp; Sandnabba, N. K. (2012). Disordered eating and gender identity disorder: a qualitative study.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Eat Disord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300-311. https://doi.org/10.1080/10640266.2012.668482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Allied Health Professions Australia. (2021, 2021).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Allied health professions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https://ahpa.com.au/allied-health-professions/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American Psychological Association. (2015). Guidelines for psychological practice with transgender and gender nonconforming people.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American Psychologist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70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832-864. https://doi.org/10.1037/a0039906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Arksey, H., &amp; O'Malley, L. (2005). Scoping studies: towards a methodological framework.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social research methodology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19-32. https://doi.org/10.1080/1364557032000119616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Baril, A., &amp; Silverman, M. (2019).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Forgotten lives: Trans older adults living with dementia at the intersection of cisgenderism, ableism/cogniticism and ageism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Sexualities. (no pagination), 2019. Date of Publication: 2019. https://doi.org/http://dx.doi.org/10.1177/1363460719876835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Beagan, B. L., Chiasson, A., Fiske, C. A., Forseth, S. D., Hosein, A. C., Myers, M. R., &amp; Stang, J. E. (2013). Working with transgender clients: learning from physicians and nurses to improve occupational therapy practice [Research Support, Non-U.S. Gov't].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Canadian Journal of Occupational Therapy - Revue Canadienne d Ergotherapie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82-91. https://doi.org/10.1177/0008417413484450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Beaumont, S. L. (2012). Art therapy for gender-variant individuals: a compassion-oriented approach.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Canadian Art Therapy Association Journal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1-6. https://doi.org/10.1080/08322473.2012.11415565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Bockting, W., Robinson, B., Benner, A., &amp; Scheltema, K. (2004). Patient satisfaction with transgender health services.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Sex &amp; Marital Therapy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277-294. https://doi.org/10.1080/00926230490422467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Bonvicini, K. A. (2017). LGBT healthcare disparities: What progress have we made?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Patient education and counseling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100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2357-2361.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Booz, J., Dorman, K., &amp; Walden, P. (2017). First-Person Narratives by Transgender Individuals on Voice and Communication.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Perspectives of the ASHA Special Interest Groups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60-63. https://doi.org/10.1044/persp2.SIG10.60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Bouman, W. P., Schwend, A. S., Motmans, J., Smiley, A., Safer, J. D., Deutsch, M. B., Adams, N. J., &amp; Winter, S. (2017). Language and trans health. In: Taylor &amp; Francis.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Callahan, R. (2009). Bending gender, ending gender: theoretical foundations for social work practice with the transgender community.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Social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88-90. https://doi.org/10.1093/sw/54.1.88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Carabez, R. M., Eliason, M. J., &amp; Martinson, M. (2016). Nursesʼ Knowledge About Transgender Patient Care: A Qualitative Study.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ANS Adv Nurs Sci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257-271. https://doi.org/10.1097/ANS.0000000000000128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Cicero, E. C., Reisner, S. L., Silva, S. G., Merwin, E. I., &amp; Humphreys, J. C. (2019). Healthcare experiences of transgender adults: an integrated mixed research literature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ANS. Advances in nursing science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42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123. https://doi.org/10.1097/ANS.0000000000000256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Collazo, A., Austin, A., &amp; Craig, S. L. (2013). Facilitating Transition Among Transgender Clients: Components of Effective Clinical Practice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Clinical Social Work Journal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228-237. https://doi.org/10.1007/s10615-013-0436-3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Davies, S., Papp, V. G., &amp; Antoni, C. (2015). Voice and Communication Change for Gender Nonconforming Individuals: Giving Voice to the Person Inside.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Transgenderism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117-159. https://doi.org/10.1080/15532739.2015.1075931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Davy, Z., &amp; Toze, M. (2018). What is gender dysphoria? A critical systematic narrative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Transgender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159-169. https://doi.org/10.1089/trgh.2018.0014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Dhillon, N., Oliffe, J. L., Kelly, M. T., &amp; Krist, J. (2020). Bridging Barriers to Cervical Cancer Screening in Transgender Men: A Scoping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American journal of men's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1557988320925691-1557988320925691. https://doi.org/10.1177/1557988320925691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Dickey, L. M., Budge, S. L., Katz-Wise, S. L., &amp; Garza, M. V. (2016). Health Disparities in the Transgender Community: Exploring Differences in Insurance Coverage.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Psychology of sexual orientation and gender diversity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275-282. https://doi.org/10.1037/sgd0000169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Dolan, I. J., Strauss, P., Winter, S., &amp; Lin, A. (2020). Misgendering and experiences of stigma in health care settings for transgender people.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Medical Journal of Australia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150-150. https://doi.org/10.5694/mja2.50497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Dudley, J. (2010). Breaking out of the binary.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Psychotherapy &amp; Politics International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227-238. https://doi.org/10.1002/ppi.225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Erasmus, J., Bagga, H., &amp; Harte, F. (2015). Assessing patient satisfaction with a multidisciplinary gender dysphoria clinic in Melbourne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Australasian Psychiatry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158-162. https://doi.org/10.1177/1039856214566829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Fairchild, M. (2019). Embracing an Unexpected Opportunity.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ASHA Leader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72-72. https://doi.org/10.1044/leader.FPLP.24022019.72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Fergusson, P., Greenspan, N., Maitland, L., &amp; Huberdeau, R. (2018). Towards Providing Culturally Aware Nutritional Care for Transgender People: Key Issues and Considerations.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Canadian Journal of Dietetic Practice &amp; Research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79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74-79. https://doi.org/10.3148/cjdpr-2018-001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Floyd, M. J., Martin, O., &amp; Eckloff, K. J. (2020). A qualitative study of transgender individuals' experiences of healthcare including radiology.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Radiography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e38-e44. https://doi.org/10.1016/j.radi.2019.10.008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Goldberg, A. C. (2019). Our Transgender Language Choices Make All the Difference: As communication professionals, we can improve the clinical experiences of clients who are transgender.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ASHA Leader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6-7. https://doi.org/10.1044/leader.FMP.24042019.6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Gussak, D. (2008). An interactionist perspective on understanding gender identity in art therapy.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Art Therapy: Journal of the American Art Therapy Association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64-69. https://doi.org/10.1080/07421656.2008.10129414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Hancock, A., &amp; Haskin, G. (2015). Speech-Language Pathologists' Knowledge and Attitudes Regarding Lesbian, Gay, Bisexual, Transgender, and Queer (LGBTQ) Populations.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American Journal of Speech-Language Pathology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206-221. https://doi.org/10.1044/2015_AJSLP-14-0095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Hancock, A. B., &amp; Garabedian, L. M. (2013). Transgender voice and communication treatment: a retrospective chart review of 25 cases.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Language &amp; Communication Disorders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48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54-65. https://doi.org/10.1111/j.1460-6984.2012.00185.x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Hashemi, L., Weinreb, J., Weimer, A. K., &amp; Weiss, R. L. (2018). Transgender Care in the Primary Care Setting: A Review of Guidelines and Literature.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Federal practitioner : for the health care professionals of the VA, DoD, and PHS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30-37.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Hatzenbuehler, M. L., Phelan, J. C., &amp; Link, B. G. (2013). Stigma as a fundamental cause of population health inequalities.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American journal of public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103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813-821. https://doi.org/10.2105/AJPH.2012.301069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Jiang, D. D., Gallagher, S., Burchill, L., Berli, J., &amp; Dugi, D., 3rd. (2019). Implementation of a Pelvic Floor Physical Therapy Program for Transgender Women Undergoing Gender-Affirming Vaginoplasty.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Obstet Gynecol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1003-1011. https://doi.org/10.1097/aog.0000000000003236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Jones, S. M., &amp; Willis, P. (2016). Are you delivering trans positive care?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Quality in Ageing &amp; Older Adults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50-59. https://doi.org/10.1108/QAOA-05-2015-0025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Kattari, S. K., Bakko, M., Hecht, H. K., &amp; Kattari, L. (2020). Correlations between healthcare provider interactions and mental health among transgender and nonbinary adults.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SSM - Population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100525. https://doi.org/https://doi.org/10.1016/j.ssmph.2019.100525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Kim, H.-T. (2020). Vocal Feminization for Transgender Women: Current Strategies and Patient Perspectives.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general medicine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43-52. https://doi.org/10.2147/IJGM.S205102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Klein, D. A., Malcolm, N. M., Berry-Bibee, E. N., Paradise, S. L., Coulter, J. S., Keglovitz Baker, K., Schvey, N. A., Rollison, J. M., &amp; Frederiksen, B. N. (2018). Quality primary care and family planning services for LGBT clients: a comprehensive review of clinical guidelines.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LGBT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153-170. https://doi.org/10.1089/lgbt.2017.0213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Lewis, C. (2017). The Road to Trans-Inclusive Health Care: Policy Implications and the Critical Role of Social Work. In (Vol. 42, pp. 60-62): Oxford University Press / USA.</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Litosseliti, L., &amp; Georgiadou, I. (2019). Taiwanese speech–language therapists' awareness and experiences of service provision to transgender clients.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Transgenderism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87-97. https://doi.org/10.1080/15532739.2018.1553693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Maiers, M. J., Foshee, W. K., &amp; Henson Dunlap, H. (2017). Culturally Sensitive Chiropractic Care of the Transgender Community: A Narrative Review of the Literature.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Chiropractic Humanities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24-30. https://doi.org/10.1016/j.echu.2017.05.001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Mallon, G. P. (2000). Knowledge for Practice with Transgendered Persons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Gay and Lesbian Social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(3-4), 1-18. https://doi.org/10.1300/J041v10n03_01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Manrique, O. J., Adabi, K., Huang, T. C. T., Jorge-Martinez, J., Meihofer, L. E., Brassard, P., &amp; Galan, R. (2019). Assessment of pelvic floor anatomy for male-to-female vaginoplasty and the role of physical therapy on functional and patient-reported outcomes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Annals of Plastic Surgery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82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661-666. https://doi.org/10.1097/SAP.0000000000001680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Markman, E. R. (2011). Gender Identity Disorder, the Gender Binary, and Transgender Oppression: Implications for Ethical Social Work.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Smith College Studies in Social Work (Taylor &amp; Francis Ltd)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81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314-327. https://doi.org/10.1080/00377317.2011.616839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Munn, Z., Peters, M. D., Stern, C., Tufanaru, C., McArthur, A., &amp; Aromataris, E. (2018). Systematic review or scoping review? Guidance for authors when choosing between a systematic or scoping review approach.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BMC medical research methodology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143. https://doi.org/10.1186/s12874-018-0611-x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Nithya, M., &amp; Suresh, J. (2020). Physiotherapist perception and attitude of treating transgender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International Journal of Pharmaceutical Research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2706-2708. https://doi.org/10.31838/ijpr/2020.12.04.373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Nyblade, L., Stockton, M. A., Giger, K., Bond, V., Ekstrand, M. L., Lean, R. M., Mitchell, E. M. H., Nelson, L. R. E., Sapag, J. C., Siraprapasiri, T., Turan, J., &amp; Wouters, E. (2019). Stigma in health facilities: why it matters and how we can change it.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BMC Medicine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25. https://doi.org/10.1186/s12916-019-1256-2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Oğuz, Ö., Ayran, B., &amp; Yelken, K. (2020). Clinical Considerations in Speech and Language Therapy in Turkish Transgender Population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Voice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https://doi.org/10.1016/j.jvoice.2019.12.011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Persson, D. I. (2009). Unique challenges of transgender aging: Implications from the literature.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Gerontological Social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633-646. https://doi.org/10.1080/01634370802609056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Peters, M., Godfrey, C., Khalil, H., McInerney, P., Soares, C., &amp; Parker, D. (2017). 2017 Guidance for the Conduct of JBI Scoping Reviews. In.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Peters, M., Marnie, C., Tricco, A. C., Pollock, D., Munn, Z., Alexander, L., McInerney, P., Godfrey, C. M., &amp; Khalil, H. (2020). Updated methodological guidance for the conduct of scoping reviews.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JBI Evidence Synthesis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2119-2126. https://doi.org/10.11124/jbies-20-00167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Polkinghorne, D. E. (2005). Language and meaning: Data collection in qualitative research.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counseling psychology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137. https://doi.org/10.1037/0022-0167.52.2.137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Radix, A., Sevelius, J., &amp; Deutsch, M. B. (2016). Transgender women, hormonal therapy and HIV treatment: a comprehensive review of the literature and recommendations for best practices.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the International AIDS Society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20810. https://doi.org/10.7448/IAS.19.3.20810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Rahman, R., &amp; Linsenmeyer, W. R. (2019). Caring for Transgender Patients and Clients: Nutrition-Related Clinical and Psychosocial Considerations.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the Academy of Nutrition &amp; Dietetics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727-732. https://doi.org/10.1016/j.jand.2018.03.006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Rethlefsen, M. L., Kirtley, S., Waffenschmidt, S., Ayala, A. P., Moher, D., Page, M. J., &amp; Koffel, J. B. (2021). PRISMA-S: an extension to the PRISMA Statement for Reporting Literature Searches in Systematic Reviews.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Systematic Reviews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1-19. https://doi.org/10.1186/s13643-020-01542-z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Rogers, M. (2016). Breaking down barriers: exploring the potential for social care practice with trans survivors of domestic abuse [Research Support, Non-U.S. Gov't].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Health &amp; Social Care in the Community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68-76. https://doi.org/10.1111/hsc.12193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Rosa, D. F., Carvalho, M. V. d. F., Pereira, N. R., Rocha, N. T., Neves, V. R., &amp; Rosa, A. d. S. (2019). Nursing Care for the transgender population: genders from the perspective of professional practice.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Rev Bras Enferm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72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 1), 299-306. https://doi.org/10.1590/0034-7167-2017-0644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Safer, J. D. (2019). Hurdles to health care access for transgender individuals.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Nat Hum Behav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1132-1133. https://doi.org/10.1038/s41562-019-0693-4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Safer, J. D., Coleman, E., Feldman, J., Garofalo, R., Hembree, W., Radix, A., &amp; Sevelius, J. (2016). Barriers to healthcare for transgender individuals.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Current opinion in endocrinology, diabetes, and obesity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168-171. https://doi.org/10.1097/MED.0000000000000227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Seelman, K. L., Colón-Diaz, M. J. P., LeCroix, R. H., Xavier-Brier, M., &amp; Kattari, L. (2017). Transgender Noninclusive Healthcare and Delaying Care Because of Fear: Connections to General Health and Mental Health Among Transgender Adults.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Transgender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17-28. https://doi.org/10.1089/trgh.2016.0024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Sekoni, D., &amp; Swanson, N. (2019). Coverage and Coding for Transgender Voice Treatment.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ASHA Leader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38-39. https://doi.org/10.1044/leader.BML.24022019.38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 S. (2020). Nutrition Management of the Transgender Patient.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Support 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42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14-19.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Shetty, G., Sanchez, J. A., Lancaster, J. M., Wilson, L. E., Quinn, G. P., &amp; Schabath, M. B. (2016). Oncology healthcare providers’ knowledge, attitudes, and practice behaviors regarding LGBT health.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Patient education and counseling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99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1676-1684.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Siverskog, A. (2014). "They just don't have a clue": transgender aging and implications for social work [Research Support, Non-U.S. Gov't].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Gerontological Social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386-406. https://doi.org/10.1080/01634372.2014.895472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Sonnenblick, E. B., Shah, A. D., Goldstein, Z., &amp; Reisman, T. (2018). Breast Imaging of Transgender Individuals: A Review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Current Radiology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Article 1. https://doi.org/10.1007/s40134-018-0260-1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Stanton, A. M., Batchelder, A. W., Kirakosian, N., Scholl, J., King, D., Grasso, C., Potter, J., Mayer, K. H., &amp; O’Cleirigh, C. (2021). Differences in mental health symptom severity and care engagement among transgender and gender diverse individuals: Findings from a large community health center.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PLOS 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e0245872. https://doi.org/10.1371/journal.pone.0245872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Stewart, K., &amp; O'Reilly, P. (2017). Exploring the attitudes, knowledge and beliefs of nurses and midwives of the healthcare needs of the LGBTQ population: an integrative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Nurse Education Today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67-77.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Taylor, E. T. (2013). Transmen's Health Care Experiences: Ethical Social Work Practice Beyond the Binary [Article].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Gay and Lesbian Social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102-120. https://doi.org/10.1080/10538720.2013.750575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Tebbe, E. A., &amp; Moradi, B. (2016). Suicide risk in trans populations: An application of minority stress theory.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Journal of counseling psychology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63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520.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Telfer, M. M., Tollit, M. A., Pace, C. C., &amp; Pang, K. C. (2018). Australian standards of care and treatment guidelines for transgender and gender diverse children and adolescents.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Medical Journal of Australia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209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132-136. https://doi.org/10.5694/mja17.01044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Testa, R. J., Rider, G. N., Haug, N. A., &amp; Balsam, K. F. (2017). Gender confirming medical interventions and eating disorder symptoms among transgender individuals.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Health Psychol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927-936. https://doi.org/10.1037/hea0000497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Teti, M., Kerr, S., Bauerband, L. A., Koegler, E., &amp; Graves, R. (2021). A Qualitative Scoping Review of Transgender and Gender Non-conforming People's Physical Healthcare Experiences and Needs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Frontiers in Public Health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https://doi.org/10.3389/fpubh.2021.598455 </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Trevor, M., &amp; Boddy, J. (2013). Transgenderism and Australian Social Work: A Literature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Australian Social Work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66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555-570. https://doi.org/10.1080/0312407X.2013.829112 </w:t>
      </w:r>
    </w:p>
    <w:p w:rsidR="00000000" w:rsidDel="00000000" w:rsidP="00000000" w:rsidRDefault="00000000" w:rsidRPr="00000000" w14:paraId="000000EC">
      <w:pPr>
        <w:ind w:left="720.0000000000001" w:hanging="720.0000000000001"/>
        <w:rPr/>
      </w:pPr>
      <w:r w:rsidDel="00000000" w:rsidR="00000000" w:rsidRPr="00000000">
        <w:rPr>
          <w:rtl w:val="0"/>
        </w:rPr>
        <w:t xml:space="preserve">Tricco, A. C., Lillie, E., Zarin, W., O’Brien, K., Colquhoun, H., Kastner, M., ... &amp; Straus, S. E. (2016). A scoping review on the conduct and reporting of scoping reviews. BMC medical research methodology, 16(1), 1-10.</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Vahia, V. N. (2013). Diagnostic and statistical manual of mental disorders 5: A quick glance.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Indian journal of psychiatry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55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220-223. https://doi.org/10.4103/0019-5545.117131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Valentine, S. E., &amp; Shipherd, J. C. (2018). A systematic review of social stress and mental health among transgender and gender non-conforming people in the United States.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Clin Psychol Rev</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66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24-38. https://doi.org/10.1016/j.cpr.2018.03.003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Weyers, S., Decaestecker, K., Verstraelen, H., Monstrey, S., T'Sjoen, G., Gerris, J., Hoebeke, P., Villeirs, G., Weyers, S., Decaestecker, K., Verstraelen, H., Monstrey, S., T'Sjoen, G., Gerris, J., Hoebeke, P., &amp; Villeirs, G. (2009). Clinical and transvaginal sonographic evaluation of the prostate in transsexual women.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Urology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74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191-196. https://doi.org/10.1016/j.urology.2008.06.016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Weyers, S., Garland, S., Cruickshank, M., Kyrgiou, M., &amp; Arbyn, M. (2021). Cervical cancer prevention in transgender men: a 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BJOG: An International Journal of Obstetrics &amp; Gynaecology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128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822-826. https://doi.org/https://doi.org/10.1111/1471-0528.16503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White Hughto, J. M., Reisner, S. L., &amp; Pachankis, J. E. (2015). Transgender stigma and health: A critical review of stigma determinants, mechanisms, and interventions.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Social science &amp; medicine (1982)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147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222-231. https://doi.org/10.1016/j.socscimed.2015.11.010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Wylie, K., Knudson, G., Khan, S. I., Bonierbale, M., Watanyusakul, S., &amp; Baral, S. (2016). Serving transgender people: clinical care considerations and service delivery models in transgender health [Research Support, Non-U.S. Gov't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Lancet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388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(10042), 401-411. https://doi.org/10.1016/S0140-6736(16)00682-6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1"/>
        <w:rPr/>
      </w:pPr>
      <w:r w:rsidDel="00000000" w:rsidR="00000000" w:rsidRPr="00000000">
        <w:rPr>
          <w:rtl w:val="0"/>
        </w:rPr>
      </w:r>
    </w:p>
    <w:p w:rsidR="00000000" w:rsidDel="00000000" w:rsidP="00000000" w:rsidRDefault="00000000" w:rsidRPr="00000000" w14:paraId="000000F5">
      <w:pPr>
        <w:pStyle w:val="Heading1"/>
        <w:rPr/>
      </w:pPr>
      <w:r w:rsidDel="00000000" w:rsidR="00000000" w:rsidRPr="00000000">
        <w:rPr>
          <w:rtl w:val="0"/>
        </w:rPr>
      </w:r>
    </w:p>
    <w:p w:rsidR="00000000" w:rsidDel="00000000" w:rsidP="00000000" w:rsidRDefault="00000000" w:rsidRPr="00000000" w14:paraId="000000F6">
      <w:pPr>
        <w:pStyle w:val="Heading1"/>
        <w:rPr/>
      </w:pPr>
      <w:r w:rsidDel="00000000" w:rsidR="00000000" w:rsidRPr="00000000">
        <w:rPr>
          <w:rtl w:val="0"/>
        </w:rPr>
      </w:r>
    </w:p>
    <w:p w:rsidR="00000000" w:rsidDel="00000000" w:rsidP="00000000" w:rsidRDefault="00000000" w:rsidRPr="00000000" w14:paraId="000000F7">
      <w:pPr>
        <w:pStyle w:val="Heading1"/>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pStyle w:val="Heading1"/>
        <w:rPr/>
      </w:pPr>
      <w:bookmarkStart w:colFirst="0" w:colLast="0" w:name="_heading=h.4i7ojhp" w:id="22"/>
      <w:bookmarkEnd w:id="22"/>
      <w:r w:rsidDel="00000000" w:rsidR="00000000" w:rsidRPr="00000000">
        <w:br w:type="page"/>
      </w:r>
      <w:r w:rsidDel="00000000" w:rsidR="00000000" w:rsidRPr="00000000">
        <w:rPr>
          <w:rtl w:val="0"/>
        </w:rPr>
      </w:r>
    </w:p>
    <w:p w:rsidR="00000000" w:rsidDel="00000000" w:rsidP="00000000" w:rsidRDefault="00000000" w:rsidRPr="00000000" w14:paraId="000000FB">
      <w:pPr>
        <w:pStyle w:val="Heading1"/>
        <w:rPr/>
      </w:pPr>
      <w:bookmarkStart w:colFirst="0" w:colLast="0" w:name="_heading=h.2xcytpi" w:id="23"/>
      <w:bookmarkEnd w:id="23"/>
      <w:r w:rsidDel="00000000" w:rsidR="00000000" w:rsidRPr="00000000">
        <w:rPr>
          <w:rtl w:val="0"/>
        </w:rPr>
        <w:t xml:space="preserve">Appendix I – Electronic database pilot search Ovid Medline </w:t>
      </w:r>
    </w:p>
    <w:tbl>
      <w:tblPr>
        <w:tblStyle w:val="Table5"/>
        <w:tblW w:w="9016.0"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1413"/>
        <w:gridCol w:w="4597"/>
        <w:gridCol w:w="3006"/>
        <w:tblGridChange w:id="0">
          <w:tblGrid>
            <w:gridCol w:w="1413"/>
            <w:gridCol w:w="4597"/>
            <w:gridCol w:w="30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rPr>
                <w:color w:val="000000"/>
              </w:rPr>
            </w:pPr>
            <w:r w:rsidDel="00000000" w:rsidR="00000000" w:rsidRPr="00000000">
              <w:rPr>
                <w:color w:val="000000"/>
                <w:rtl w:val="0"/>
              </w:rPr>
              <w:t xml:space="preserve">Search Number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rPr>
                <w:color w:val="000000"/>
              </w:rPr>
            </w:pPr>
            <w:r w:rsidDel="00000000" w:rsidR="00000000" w:rsidRPr="00000000">
              <w:rPr>
                <w:color w:val="000000"/>
                <w:rtl w:val="0"/>
              </w:rPr>
              <w:t xml:space="preserve">Search Terms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rPr>
                <w:color w:val="000000"/>
              </w:rPr>
            </w:pPr>
            <w:r w:rsidDel="00000000" w:rsidR="00000000" w:rsidRPr="00000000">
              <w:rPr>
                <w:color w:val="000000"/>
                <w:rtl w:val="0"/>
              </w:rPr>
              <w:t xml:space="preserve">Result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rPr>
                <w:color w:val="000000"/>
              </w:rPr>
            </w:pPr>
            <w:r w:rsidDel="00000000" w:rsidR="00000000" w:rsidRPr="00000000">
              <w:rPr>
                <w:color w:val="000000"/>
                <w:rtl w:val="0"/>
              </w:rPr>
              <w:t xml:space="preserve">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rPr>
                <w:color w:val="000000"/>
              </w:rPr>
            </w:pPr>
            <w:r w:rsidDel="00000000" w:rsidR="00000000" w:rsidRPr="00000000">
              <w:rPr>
                <w:color w:val="000000"/>
                <w:rtl w:val="0"/>
              </w:rPr>
              <w:t xml:space="preserve">Allied Health or Allied Health Personnel or Case managers or Nutritionist or Occupational therap* or Physiotherap* or Physical therap* or Social work* or Chiropract* or Radiograph* or Sonograph* or Art therap* or Music therap* or Optometr* or Osteopath* or Podiatr* or Speech Path* or Speech language path*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rPr>
                <w:color w:val="000000"/>
              </w:rPr>
            </w:pPr>
            <w:r w:rsidDel="00000000" w:rsidR="00000000" w:rsidRPr="00000000">
              <w:rPr>
                <w:color w:val="000000"/>
                <w:rtl w:val="0"/>
              </w:rPr>
              <w:t xml:space="preserve">737557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2">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rPr>
                <w:color w:val="000000"/>
              </w:rPr>
            </w:pPr>
            <w:r w:rsidDel="00000000" w:rsidR="00000000" w:rsidRPr="00000000">
              <w:rPr>
                <w:color w:val="000000"/>
                <w:rtl w:val="0"/>
              </w:rPr>
              <w:t xml:space="preserve">Exp Allied Health Occupations </w:t>
            </w:r>
            <w:r w:rsidDel="00000000" w:rsidR="00000000" w:rsidRPr="00000000">
              <w:rPr>
                <w:rFonts w:ascii="Arial" w:cs="Arial" w:eastAsia="Arial" w:hAnsi="Arial"/>
                <w:color w:val="000000"/>
                <w:rtl w:val="0"/>
              </w:rPr>
              <w:t xml:space="preserve">(MeSH)</w:t>
            </w:r>
            <w:r w:rsidDel="00000000" w:rsidR="00000000" w:rsidRPr="00000000">
              <w:rPr>
                <w:color w:val="000000"/>
                <w:rtl w:val="0"/>
              </w:rPr>
              <w:t xml:space="preserve"> or exp Allied Health Personnel </w:t>
            </w:r>
            <w:r w:rsidDel="00000000" w:rsidR="00000000" w:rsidRPr="00000000">
              <w:rPr>
                <w:rFonts w:ascii="Arial" w:cs="Arial" w:eastAsia="Arial" w:hAnsi="Arial"/>
                <w:color w:val="000000"/>
                <w:rtl w:val="0"/>
              </w:rPr>
              <w:t xml:space="preserve">(MeSH)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rPr>
                <w:color w:val="000000"/>
              </w:rPr>
            </w:pPr>
            <w:r w:rsidDel="00000000" w:rsidR="00000000" w:rsidRPr="00000000">
              <w:rPr>
                <w:color w:val="000000"/>
                <w:rtl w:val="0"/>
              </w:rPr>
              <w:t xml:space="preserve">100550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rPr>
                <w:color w:val="000000"/>
              </w:rPr>
            </w:pPr>
            <w:r w:rsidDel="00000000" w:rsidR="00000000" w:rsidRPr="00000000">
              <w:rPr>
                <w:color w:val="000000"/>
                <w:rtl w:val="0"/>
              </w:rPr>
              <w:t xml:space="preserve">1 or 2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rPr>
                <w:color w:val="000000"/>
              </w:rPr>
            </w:pPr>
            <w:r w:rsidDel="00000000" w:rsidR="00000000" w:rsidRPr="00000000">
              <w:rPr>
                <w:color w:val="000000"/>
                <w:rtl w:val="0"/>
              </w:rPr>
              <w:t xml:space="preserve">799271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rPr>
                <w:color w:val="000000"/>
              </w:rPr>
            </w:pPr>
            <w:r w:rsidDel="00000000" w:rsidR="00000000" w:rsidRPr="00000000">
              <w:rPr>
                <w:color w:val="000000"/>
                <w:rtl w:val="0"/>
              </w:rPr>
              <w:t xml:space="preserve">Transgender* or Transsexual* or Gender dysphoria or Genderqueer or Nonbinary or Gender nonconform* or Trans wom$n or Trans m$n or Sistagirl or Brotherboy or Two Spirit* or Non-binary or Gender fluid or Gender-fluid or Transmasculine or Transfeminine or Gender-diverse or Gender-variant or Transexual* or Gender affirm* or Gender identity or Transm$n or Trans male or Transwom$n or Trans female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rPr>
                <w:color w:val="000000"/>
              </w:rPr>
            </w:pPr>
            <w:r w:rsidDel="00000000" w:rsidR="00000000" w:rsidRPr="00000000">
              <w:rPr>
                <w:color w:val="000000"/>
                <w:rtl w:val="0"/>
              </w:rPr>
              <w:t xml:space="preserve">27129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rPr>
                <w:color w:val="000000"/>
              </w:rPr>
            </w:pPr>
            <w:r w:rsidDel="00000000" w:rsidR="00000000" w:rsidRPr="00000000">
              <w:rPr>
                <w:color w:val="000000"/>
                <w:rtl w:val="0"/>
              </w:rPr>
              <w:t xml:space="preserve">Exp transgender persons </w:t>
            </w:r>
            <w:r w:rsidDel="00000000" w:rsidR="00000000" w:rsidRPr="00000000">
              <w:rPr>
                <w:rFonts w:ascii="Arial" w:cs="Arial" w:eastAsia="Arial" w:hAnsi="Arial"/>
                <w:color w:val="000000"/>
                <w:rtl w:val="0"/>
              </w:rPr>
              <w:t xml:space="preserve">(MeSH)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rPr>
                <w:color w:val="000000"/>
              </w:rPr>
            </w:pPr>
            <w:r w:rsidDel="00000000" w:rsidR="00000000" w:rsidRPr="00000000">
              <w:rPr>
                <w:color w:val="000000"/>
                <w:rtl w:val="0"/>
              </w:rPr>
              <w:t xml:space="preserve">3781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rPr>
                <w:color w:val="000000"/>
              </w:rPr>
            </w:pPr>
            <w:r w:rsidDel="00000000" w:rsidR="00000000" w:rsidRPr="00000000">
              <w:rPr>
                <w:color w:val="000000"/>
                <w:rtl w:val="0"/>
              </w:rPr>
              <w:t xml:space="preserve">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rPr>
                <w:color w:val="000000"/>
              </w:rPr>
            </w:pPr>
            <w:r w:rsidDel="00000000" w:rsidR="00000000" w:rsidRPr="00000000">
              <w:rPr>
                <w:color w:val="000000"/>
                <w:rtl w:val="0"/>
              </w:rPr>
              <w:t xml:space="preserve">exp Transsexualism (MeSH)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rPr>
                <w:color w:val="000000"/>
              </w:rPr>
            </w:pPr>
            <w:r w:rsidDel="00000000" w:rsidR="00000000" w:rsidRPr="00000000">
              <w:rPr>
                <w:color w:val="000000"/>
                <w:rtl w:val="0"/>
              </w:rPr>
              <w:t xml:space="preserve">3884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rPr>
                <w:color w:val="000000"/>
              </w:rPr>
            </w:pPr>
            <w:r w:rsidDel="00000000" w:rsidR="00000000" w:rsidRPr="00000000">
              <w:rPr>
                <w:color w:val="000000"/>
                <w:rtl w:val="0"/>
              </w:rPr>
              <w:t xml:space="preserve">7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rPr>
                <w:color w:val="000000"/>
              </w:rPr>
            </w:pPr>
            <w:r w:rsidDel="00000000" w:rsidR="00000000" w:rsidRPr="00000000">
              <w:rPr>
                <w:color w:val="000000"/>
                <w:rtl w:val="0"/>
              </w:rPr>
              <w:t xml:space="preserve">4 or 5 or 6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rPr>
                <w:color w:val="000000"/>
              </w:rPr>
            </w:pPr>
            <w:r w:rsidDel="00000000" w:rsidR="00000000" w:rsidRPr="00000000">
              <w:rPr>
                <w:color w:val="000000"/>
                <w:rtl w:val="0"/>
              </w:rPr>
              <w:t xml:space="preserve">27129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rPr>
                <w:color w:val="000000"/>
              </w:rPr>
            </w:pPr>
            <w:r w:rsidDel="00000000" w:rsidR="00000000" w:rsidRPr="00000000">
              <w:rPr>
                <w:color w:val="000000"/>
                <w:rtl w:val="0"/>
              </w:rPr>
              <w:t xml:space="preserve">8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rPr>
                <w:color w:val="000000"/>
              </w:rPr>
            </w:pPr>
            <w:r w:rsidDel="00000000" w:rsidR="00000000" w:rsidRPr="00000000">
              <w:rPr>
                <w:color w:val="000000"/>
                <w:rtl w:val="0"/>
              </w:rPr>
              <w:t xml:space="preserve">3 and 7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6">
            <w:pPr>
              <w:rPr>
                <w:color w:val="000000"/>
              </w:rPr>
            </w:pPr>
            <w:r w:rsidDel="00000000" w:rsidR="00000000" w:rsidRPr="00000000">
              <w:rPr>
                <w:color w:val="000000"/>
                <w:rtl w:val="0"/>
              </w:rPr>
              <w:t xml:space="preserve">391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rPr>
                <w:color w:val="000000"/>
              </w:rPr>
            </w:pPr>
            <w:r w:rsidDel="00000000" w:rsidR="00000000" w:rsidRPr="00000000">
              <w:rPr>
                <w:color w:val="000000"/>
                <w:rtl w:val="0"/>
              </w:rPr>
              <w:t xml:space="preserve">9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rPr>
                <w:color w:val="000000"/>
              </w:rPr>
            </w:pPr>
            <w:r w:rsidDel="00000000" w:rsidR="00000000" w:rsidRPr="00000000">
              <w:rPr>
                <w:color w:val="000000"/>
                <w:rtl w:val="0"/>
              </w:rPr>
              <w:t xml:space="preserve">Limit 8 to yr=”2000- Current”</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rPr>
                <w:color w:val="000000"/>
              </w:rPr>
            </w:pPr>
            <w:r w:rsidDel="00000000" w:rsidR="00000000" w:rsidRPr="00000000">
              <w:rPr>
                <w:color w:val="000000"/>
                <w:rtl w:val="0"/>
              </w:rPr>
              <w:t xml:space="preserve">288</w:t>
            </w:r>
          </w:p>
        </w:tc>
      </w:tr>
    </w:tbl>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pStyle w:val="Heading1"/>
        <w:rPr/>
      </w:pPr>
      <w:bookmarkStart w:colFirst="0" w:colLast="0" w:name="_heading=h.1ci93xb" w:id="24"/>
      <w:bookmarkEnd w:id="24"/>
      <w:r w:rsidDel="00000000" w:rsidR="00000000" w:rsidRPr="00000000">
        <w:br w:type="page"/>
      </w:r>
      <w:r w:rsidDel="00000000" w:rsidR="00000000" w:rsidRPr="00000000">
        <w:rPr>
          <w:rtl w:val="0"/>
        </w:rPr>
      </w:r>
    </w:p>
    <w:p w:rsidR="00000000" w:rsidDel="00000000" w:rsidP="00000000" w:rsidRDefault="00000000" w:rsidRPr="00000000" w14:paraId="00000125">
      <w:pPr>
        <w:pStyle w:val="Heading1"/>
        <w:rPr/>
      </w:pPr>
      <w:bookmarkStart w:colFirst="0" w:colLast="0" w:name="_heading=h.inrs36u1phg0" w:id="25"/>
      <w:bookmarkEnd w:id="25"/>
      <w:r w:rsidDel="00000000" w:rsidR="00000000" w:rsidRPr="00000000">
        <w:rPr>
          <w:rtl w:val="0"/>
        </w:rPr>
        <w:t xml:space="preserve">Appendix II – Electronic database pilot search CINAHL</w:t>
      </w:r>
    </w:p>
    <w:p w:rsidR="00000000" w:rsidDel="00000000" w:rsidP="00000000" w:rsidRDefault="00000000" w:rsidRPr="00000000" w14:paraId="00000126">
      <w:pPr>
        <w:rPr>
          <w:b w:val="1"/>
        </w:rPr>
      </w:pPr>
      <w:r w:rsidDel="00000000" w:rsidR="00000000" w:rsidRPr="00000000">
        <w:rPr>
          <w:rtl w:val="0"/>
        </w:rPr>
      </w:r>
    </w:p>
    <w:tbl>
      <w:tblPr>
        <w:tblStyle w:val="Table6"/>
        <w:tblW w:w="9016.0"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1413"/>
        <w:gridCol w:w="4597"/>
        <w:gridCol w:w="3006"/>
        <w:tblGridChange w:id="0">
          <w:tblGrid>
            <w:gridCol w:w="1413"/>
            <w:gridCol w:w="4597"/>
            <w:gridCol w:w="30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rPr>
                <w:color w:val="000000"/>
              </w:rPr>
            </w:pPr>
            <w:r w:rsidDel="00000000" w:rsidR="00000000" w:rsidRPr="00000000">
              <w:rPr>
                <w:color w:val="000000"/>
                <w:rtl w:val="0"/>
              </w:rPr>
              <w:t xml:space="preserve">Search Number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rPr>
                <w:color w:val="000000"/>
              </w:rPr>
            </w:pPr>
            <w:r w:rsidDel="00000000" w:rsidR="00000000" w:rsidRPr="00000000">
              <w:rPr>
                <w:color w:val="000000"/>
                <w:rtl w:val="0"/>
              </w:rPr>
              <w:t xml:space="preserve">Search Terms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rPr>
                <w:color w:val="000000"/>
              </w:rPr>
            </w:pPr>
            <w:r w:rsidDel="00000000" w:rsidR="00000000" w:rsidRPr="00000000">
              <w:rPr>
                <w:color w:val="000000"/>
                <w:rtl w:val="0"/>
              </w:rPr>
              <w:t xml:space="preserve">Result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rPr>
                <w:color w:val="000000"/>
              </w:rPr>
            </w:pPr>
            <w:r w:rsidDel="00000000" w:rsidR="00000000" w:rsidRPr="00000000">
              <w:rPr>
                <w:color w:val="000000"/>
                <w:rtl w:val="0"/>
              </w:rPr>
              <w:t xml:space="preserve">S1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rPr>
                <w:color w:val="000000"/>
              </w:rPr>
            </w:pPr>
            <w:r w:rsidDel="00000000" w:rsidR="00000000" w:rsidRPr="00000000">
              <w:rPr>
                <w:color w:val="000000"/>
                <w:rtl w:val="0"/>
              </w:rPr>
              <w:t xml:space="preserve">Transgender* or Transsexual* or Gender dysphoria or Genderqueer or Nonbinary or Gender nonconform* or Trans wom$n or Trans m$n or Sistagirl or Brotherboy or Two Spirit* or Non-binary or Gender fluid or Gender-fluid or Transmasculine or Transfeminine or Gender-diverse or Gender-variant or Transexual* or Gender affirm* or Gender identity or Transm$n or Trans male or Transwom$n or Trans female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rPr>
                <w:color w:val="000000"/>
              </w:rPr>
            </w:pPr>
            <w:r w:rsidDel="00000000" w:rsidR="00000000" w:rsidRPr="00000000">
              <w:rPr>
                <w:color w:val="000000"/>
                <w:rtl w:val="0"/>
              </w:rPr>
              <w:t xml:space="preserve">14538</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rPr>
                <w:color w:val="000000"/>
              </w:rPr>
            </w:pPr>
            <w:r w:rsidDel="00000000" w:rsidR="00000000" w:rsidRPr="00000000">
              <w:rPr>
                <w:color w:val="000000"/>
                <w:rtl w:val="0"/>
              </w:rPr>
              <w:t xml:space="preserve">S2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rPr>
                <w:color w:val="000000"/>
              </w:rPr>
            </w:pPr>
            <w:r w:rsidDel="00000000" w:rsidR="00000000" w:rsidRPr="00000000">
              <w:rPr>
                <w:color w:val="000000"/>
                <w:rtl w:val="0"/>
              </w:rPr>
              <w:t xml:space="preserve">(MH "Gender Dysphoria") OR (MH "Transsexualism") OR (MH "Transgender Persons+") OR (MH "Transsexuals") OR (MH "Gender Nonconformity+")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rPr>
                <w:color w:val="000000"/>
              </w:rPr>
            </w:pPr>
            <w:r w:rsidDel="00000000" w:rsidR="00000000" w:rsidRPr="00000000">
              <w:rPr>
                <w:color w:val="000000"/>
                <w:rtl w:val="0"/>
              </w:rPr>
              <w:t xml:space="preserve">4310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rPr>
                <w:color w:val="000000"/>
              </w:rPr>
            </w:pPr>
            <w:r w:rsidDel="00000000" w:rsidR="00000000" w:rsidRPr="00000000">
              <w:rPr>
                <w:color w:val="000000"/>
                <w:rtl w:val="0"/>
              </w:rPr>
              <w:t xml:space="preserve">S3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rPr>
                <w:color w:val="000000"/>
              </w:rPr>
            </w:pPr>
            <w:r w:rsidDel="00000000" w:rsidR="00000000" w:rsidRPr="00000000">
              <w:rPr>
                <w:color w:val="000000"/>
                <w:rtl w:val="0"/>
              </w:rPr>
              <w:t xml:space="preserve">1 or 2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rPr>
                <w:color w:val="000000"/>
              </w:rPr>
            </w:pPr>
            <w:r w:rsidDel="00000000" w:rsidR="00000000" w:rsidRPr="00000000">
              <w:rPr>
                <w:color w:val="000000"/>
                <w:rtl w:val="0"/>
              </w:rPr>
              <w:t xml:space="preserve">14575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3">
            <w:pPr>
              <w:rPr>
                <w:color w:val="000000"/>
              </w:rPr>
            </w:pPr>
            <w:r w:rsidDel="00000000" w:rsidR="00000000" w:rsidRPr="00000000">
              <w:rPr>
                <w:color w:val="000000"/>
                <w:rtl w:val="0"/>
              </w:rPr>
              <w:t xml:space="preserve">S4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rPr>
                <w:color w:val="000000"/>
              </w:rPr>
            </w:pPr>
            <w:r w:rsidDel="00000000" w:rsidR="00000000" w:rsidRPr="00000000">
              <w:rPr>
                <w:color w:val="000000"/>
                <w:rtl w:val="0"/>
              </w:rPr>
              <w:t xml:space="preserve">Allied Health or Allied Health Personnel or Case managers or Nutritionist or Occupational therap* or Physiotherap* or Physical therap* or Social work* or Chiropract* or Radiograph* or Sonograph* or Art therap* or Music therap* or Optometr* or Osteopath* or Podiatr* or Speech Path* or Speech language path*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rPr>
                <w:color w:val="000000"/>
              </w:rPr>
            </w:pPr>
            <w:r w:rsidDel="00000000" w:rsidR="00000000" w:rsidRPr="00000000">
              <w:rPr>
                <w:color w:val="000000"/>
                <w:rtl w:val="0"/>
              </w:rPr>
              <w:t xml:space="preserve">479,567</w:t>
            </w:r>
          </w:p>
          <w:p w:rsidR="00000000" w:rsidDel="00000000" w:rsidP="00000000" w:rsidRDefault="00000000" w:rsidRPr="00000000" w14:paraId="00000136">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rPr>
                <w:color w:val="000000"/>
              </w:rPr>
            </w:pPr>
            <w:r w:rsidDel="00000000" w:rsidR="00000000" w:rsidRPr="00000000">
              <w:rPr>
                <w:color w:val="000000"/>
                <w:rtl w:val="0"/>
              </w:rPr>
              <w:t xml:space="preserve">S5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rPr>
                <w:color w:val="000000"/>
              </w:rPr>
            </w:pPr>
            <w:r w:rsidDel="00000000" w:rsidR="00000000" w:rsidRPr="00000000">
              <w:rPr>
                <w:color w:val="000000"/>
                <w:rtl w:val="0"/>
              </w:rPr>
              <w:t xml:space="preserve">(MH "Allied Health Professions+") OR (MH "Allied Health Personnel+")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rPr>
                <w:color w:val="000000"/>
              </w:rPr>
            </w:pPr>
            <w:r w:rsidDel="00000000" w:rsidR="00000000" w:rsidRPr="00000000">
              <w:rPr>
                <w:color w:val="000000"/>
                <w:rtl w:val="0"/>
              </w:rPr>
              <w:t xml:space="preserve">302086</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rPr>
                <w:color w:val="000000"/>
              </w:rPr>
            </w:pPr>
            <w:r w:rsidDel="00000000" w:rsidR="00000000" w:rsidRPr="00000000">
              <w:rPr>
                <w:color w:val="000000"/>
                <w:rtl w:val="0"/>
              </w:rPr>
              <w:t xml:space="preserve">S6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rPr>
                <w:color w:val="000000"/>
              </w:rPr>
            </w:pPr>
            <w:r w:rsidDel="00000000" w:rsidR="00000000" w:rsidRPr="00000000">
              <w:rPr>
                <w:color w:val="000000"/>
                <w:rtl w:val="0"/>
              </w:rPr>
              <w:t xml:space="preserve">4 or 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C">
            <w:pPr>
              <w:rPr>
                <w:color w:val="000000"/>
              </w:rPr>
            </w:pPr>
            <w:r w:rsidDel="00000000" w:rsidR="00000000" w:rsidRPr="00000000">
              <w:rPr>
                <w:color w:val="000000"/>
                <w:rtl w:val="0"/>
              </w:rPr>
              <w:t xml:space="preserve">650,398</w:t>
            </w:r>
          </w:p>
          <w:p w:rsidR="00000000" w:rsidDel="00000000" w:rsidP="00000000" w:rsidRDefault="00000000" w:rsidRPr="00000000" w14:paraId="0000013D">
            <w:pP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rPr>
                <w:color w:val="000000"/>
              </w:rPr>
            </w:pPr>
            <w:r w:rsidDel="00000000" w:rsidR="00000000" w:rsidRPr="00000000">
              <w:rPr>
                <w:color w:val="000000"/>
                <w:rtl w:val="0"/>
              </w:rPr>
              <w:t xml:space="preserve">S7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rPr>
                <w:color w:val="000000"/>
              </w:rPr>
            </w:pPr>
            <w:r w:rsidDel="00000000" w:rsidR="00000000" w:rsidRPr="00000000">
              <w:rPr>
                <w:color w:val="000000"/>
                <w:rtl w:val="0"/>
              </w:rPr>
              <w:t xml:space="preserve">3 and 6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rPr>
                <w:color w:val="000000"/>
              </w:rPr>
            </w:pPr>
            <w:r w:rsidDel="00000000" w:rsidR="00000000" w:rsidRPr="00000000">
              <w:rPr>
                <w:color w:val="000000"/>
                <w:rtl w:val="0"/>
              </w:rPr>
              <w:t xml:space="preserve">970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1">
            <w:pPr>
              <w:rPr>
                <w:color w:val="000000"/>
              </w:rPr>
            </w:pPr>
            <w:r w:rsidDel="00000000" w:rsidR="00000000" w:rsidRPr="00000000">
              <w:rPr>
                <w:color w:val="000000"/>
                <w:rtl w:val="0"/>
              </w:rPr>
              <w:t xml:space="preserve">S8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rPr>
                <w:color w:val="000000"/>
              </w:rPr>
            </w:pPr>
            <w:r w:rsidDel="00000000" w:rsidR="00000000" w:rsidRPr="00000000">
              <w:rPr>
                <w:color w:val="000000"/>
                <w:rtl w:val="0"/>
              </w:rPr>
              <w:t xml:space="preserve">Resticted to 2000-current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rPr>
                <w:color w:val="000000"/>
              </w:rPr>
            </w:pPr>
            <w:r w:rsidDel="00000000" w:rsidR="00000000" w:rsidRPr="00000000">
              <w:rPr>
                <w:color w:val="000000"/>
                <w:rtl w:val="0"/>
              </w:rPr>
              <w:t xml:space="preserve">926</w:t>
            </w:r>
          </w:p>
        </w:tc>
      </w:tr>
    </w:tbl>
    <w:p w:rsidR="00000000" w:rsidDel="00000000" w:rsidP="00000000" w:rsidRDefault="00000000" w:rsidRPr="00000000" w14:paraId="00000144">
      <w:pPr>
        <w:pStyle w:val="Heading1"/>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pStyle w:val="Heading1"/>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1"/>
        <w:rPr/>
      </w:pPr>
      <w:bookmarkStart w:colFirst="0" w:colLast="0" w:name="_heading=h.3whwml4" w:id="26"/>
      <w:bookmarkEnd w:id="26"/>
      <w:r w:rsidDel="00000000" w:rsidR="00000000" w:rsidRPr="00000000">
        <w:br w:type="page"/>
      </w:r>
      <w:r w:rsidDel="00000000" w:rsidR="00000000" w:rsidRPr="00000000">
        <w:rPr>
          <w:rtl w:val="0"/>
        </w:rPr>
      </w:r>
    </w:p>
    <w:p w:rsidR="00000000" w:rsidDel="00000000" w:rsidP="00000000" w:rsidRDefault="00000000" w:rsidRPr="00000000" w14:paraId="0000014A">
      <w:pPr>
        <w:pStyle w:val="Heading1"/>
        <w:rPr/>
      </w:pPr>
      <w:bookmarkStart w:colFirst="0" w:colLast="0" w:name="_heading=h.ty9g1grozl5" w:id="27"/>
      <w:bookmarkEnd w:id="27"/>
      <w:r w:rsidDel="00000000" w:rsidR="00000000" w:rsidRPr="00000000">
        <w:rPr>
          <w:rtl w:val="0"/>
        </w:rPr>
        <w:t xml:space="preserve">Appendix III– Electronic database pilot search Scopus </w:t>
      </w:r>
    </w:p>
    <w:p w:rsidR="00000000" w:rsidDel="00000000" w:rsidP="00000000" w:rsidRDefault="00000000" w:rsidRPr="00000000" w14:paraId="0000014B">
      <w:pPr>
        <w:tabs>
          <w:tab w:val="left" w:pos="3960"/>
        </w:tabs>
        <w:rPr>
          <w:b w:val="1"/>
        </w:rPr>
      </w:pPr>
      <w:r w:rsidDel="00000000" w:rsidR="00000000" w:rsidRPr="00000000">
        <w:rPr>
          <w:rtl w:val="0"/>
        </w:rPr>
      </w:r>
    </w:p>
    <w:tbl>
      <w:tblPr>
        <w:tblStyle w:val="Table7"/>
        <w:tblW w:w="9016.000000000002"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1413"/>
        <w:gridCol w:w="4536"/>
        <w:gridCol w:w="3067"/>
        <w:tblGridChange w:id="0">
          <w:tblGrid>
            <w:gridCol w:w="1413"/>
            <w:gridCol w:w="4536"/>
            <w:gridCol w:w="306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rPr>
                <w:color w:val="000000"/>
              </w:rPr>
            </w:pPr>
            <w:r w:rsidDel="00000000" w:rsidR="00000000" w:rsidRPr="00000000">
              <w:rPr>
                <w:color w:val="000000"/>
                <w:rtl w:val="0"/>
              </w:rPr>
              <w:t xml:space="preserve">Search Number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rPr>
                <w:color w:val="000000"/>
              </w:rPr>
            </w:pPr>
            <w:r w:rsidDel="00000000" w:rsidR="00000000" w:rsidRPr="00000000">
              <w:rPr>
                <w:color w:val="000000"/>
                <w:rtl w:val="0"/>
              </w:rPr>
              <w:t xml:space="preserve">Search Terms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rPr>
                <w:color w:val="000000"/>
              </w:rPr>
            </w:pPr>
            <w:r w:rsidDel="00000000" w:rsidR="00000000" w:rsidRPr="00000000">
              <w:rPr>
                <w:color w:val="000000"/>
                <w:rtl w:val="0"/>
              </w:rPr>
              <w:t xml:space="preserve">Result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rPr>
                <w:color w:val="000000"/>
              </w:rPr>
            </w:pPr>
            <w:r w:rsidDel="00000000" w:rsidR="00000000" w:rsidRPr="00000000">
              <w:rPr>
                <w:color w:val="000000"/>
                <w:rtl w:val="0"/>
              </w:rPr>
              <w:t xml:space="preserve">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rPr>
                <w:color w:val="000000"/>
              </w:rPr>
            </w:pPr>
            <w:r w:rsidDel="00000000" w:rsidR="00000000" w:rsidRPr="00000000">
              <w:rPr>
                <w:color w:val="000000"/>
                <w:rtl w:val="0"/>
              </w:rPr>
              <w:t xml:space="preserve">(transgender*) OR (transsexual*) OR ("Gender dysphoria") OR (genderqueer) OR (nonbinary) OR ("Gender nonconform*") OR ("Trans wom$n") OR ("Trans m$n") OR (sistagirl) OR (brotherboy) OR ("Two Spirit*") OR (non-binary) OR ("Gender fluid") OR (gender-fluid) OR (transmasculine) OR (transfeminine) OR (gender-diverse) OR (gender-variant) OR (transexual*) OR ("Gender affirm*") OR ("Gender identity") OR (transm$n) OR ("Trans male") OR ( transwom$n) OR ("Trans female")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rPr>
                <w:color w:val="000000"/>
              </w:rPr>
            </w:pPr>
            <w:r w:rsidDel="00000000" w:rsidR="00000000" w:rsidRPr="00000000">
              <w:rPr>
                <w:color w:val="000000"/>
                <w:rtl w:val="0"/>
              </w:rPr>
              <w:t xml:space="preserve">51537</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3">
            <w:pPr>
              <w:rPr>
                <w:color w:val="000000"/>
              </w:rPr>
            </w:pPr>
            <w:r w:rsidDel="00000000" w:rsidR="00000000" w:rsidRPr="00000000">
              <w:rPr>
                <w:color w:val="000000"/>
                <w:rtl w:val="0"/>
              </w:rPr>
              <w:t xml:space="preserve"> ("Allied Health") or ("Allied Health Personnel") or ("Case managers") or (Nutritionist) or ("Occupational therap*") or (Physiotherap*) or ("Physical therap*") or ("Social work*") or (Chiropract*) or (Radiograph*) or (Sonograph*) or ("Art therap*") or ("Music therap*") or (Optometr*) or (Osteopath*) or (Podiatr*) or ("Speech Path*") or ("Speech Language Path*")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4">
            <w:pPr>
              <w:rPr>
                <w:color w:val="000000"/>
              </w:rPr>
            </w:pPr>
            <w:r w:rsidDel="00000000" w:rsidR="00000000" w:rsidRPr="00000000">
              <w:rPr>
                <w:color w:val="000000"/>
                <w:rtl w:val="0"/>
              </w:rPr>
              <w:t xml:space="preserve">1251649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5">
            <w:pPr>
              <w:rPr>
                <w:color w:val="000000"/>
              </w:rPr>
            </w:pPr>
            <w:r w:rsidDel="00000000" w:rsidR="00000000" w:rsidRPr="00000000">
              <w:rPr>
                <w:color w:val="000000"/>
                <w:rtl w:val="0"/>
              </w:rPr>
              <w:t xml:space="preserve">3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rPr>
                <w:color w:val="000000"/>
              </w:rPr>
            </w:pPr>
            <w:r w:rsidDel="00000000" w:rsidR="00000000" w:rsidRPr="00000000">
              <w:rPr>
                <w:color w:val="000000"/>
                <w:rtl w:val="0"/>
              </w:rPr>
              <w:t xml:space="preserve">1 and 2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7">
            <w:pPr>
              <w:rPr>
                <w:color w:val="000000"/>
              </w:rPr>
            </w:pPr>
            <w:r w:rsidDel="00000000" w:rsidR="00000000" w:rsidRPr="00000000">
              <w:rPr>
                <w:color w:val="000000"/>
                <w:rtl w:val="0"/>
              </w:rPr>
              <w:t xml:space="preserve">905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rPr>
                <w:color w:val="000000"/>
              </w:rPr>
            </w:pPr>
            <w:r w:rsidDel="00000000" w:rsidR="00000000" w:rsidRPr="00000000">
              <w:rPr>
                <w:color w:val="000000"/>
                <w:rtl w:val="0"/>
              </w:rPr>
              <w:t xml:space="preserve">1 and 2 – restricted to 2000-current year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rPr>
                <w:color w:val="000000"/>
              </w:rPr>
            </w:pPr>
            <w:r w:rsidDel="00000000" w:rsidR="00000000" w:rsidRPr="00000000">
              <w:rPr>
                <w:color w:val="000000"/>
                <w:rtl w:val="0"/>
              </w:rPr>
              <w:t xml:space="preserve">776</w:t>
            </w:r>
          </w:p>
        </w:tc>
      </w:tr>
    </w:tbl>
    <w:p w:rsidR="00000000" w:rsidDel="00000000" w:rsidP="00000000" w:rsidRDefault="00000000" w:rsidRPr="00000000" w14:paraId="0000015B">
      <w:pPr>
        <w:tabs>
          <w:tab w:val="left" w:pos="3960"/>
        </w:tabs>
        <w:rPr>
          <w:b w:val="1"/>
        </w:rPr>
      </w:pPr>
      <w:r w:rsidDel="00000000" w:rsidR="00000000" w:rsidRPr="00000000">
        <w:rPr>
          <w:rtl w:val="0"/>
        </w:rPr>
      </w:r>
    </w:p>
    <w:p w:rsidR="00000000" w:rsidDel="00000000" w:rsidP="00000000" w:rsidRDefault="00000000" w:rsidRPr="00000000" w14:paraId="0000015C">
      <w:pPr>
        <w:tabs>
          <w:tab w:val="left" w:pos="3960"/>
        </w:tabs>
        <w:rPr>
          <w:b w:val="1"/>
        </w:rPr>
      </w:pPr>
      <w:r w:rsidDel="00000000" w:rsidR="00000000" w:rsidRPr="00000000">
        <w:rPr>
          <w:rtl w:val="0"/>
        </w:rPr>
      </w:r>
    </w:p>
    <w:p w:rsidR="00000000" w:rsidDel="00000000" w:rsidP="00000000" w:rsidRDefault="00000000" w:rsidRPr="00000000" w14:paraId="0000015D">
      <w:pPr>
        <w:tabs>
          <w:tab w:val="left" w:pos="3960"/>
        </w:tabs>
        <w:rPr>
          <w:b w:val="1"/>
        </w:rPr>
      </w:pPr>
      <w:r w:rsidDel="00000000" w:rsidR="00000000" w:rsidRPr="00000000">
        <w:rPr>
          <w:rtl w:val="0"/>
        </w:rPr>
      </w:r>
    </w:p>
    <w:p w:rsidR="00000000" w:rsidDel="00000000" w:rsidP="00000000" w:rsidRDefault="00000000" w:rsidRPr="00000000" w14:paraId="0000015E">
      <w:pPr>
        <w:tabs>
          <w:tab w:val="left" w:pos="3960"/>
        </w:tabs>
        <w:rPr>
          <w:b w:val="1"/>
        </w:rPr>
      </w:pPr>
      <w:r w:rsidDel="00000000" w:rsidR="00000000" w:rsidRPr="00000000">
        <w:rPr>
          <w:rtl w:val="0"/>
        </w:rPr>
      </w:r>
    </w:p>
    <w:p w:rsidR="00000000" w:rsidDel="00000000" w:rsidP="00000000" w:rsidRDefault="00000000" w:rsidRPr="00000000" w14:paraId="0000015F">
      <w:pPr>
        <w:pStyle w:val="Heading1"/>
        <w:rPr/>
      </w:pPr>
      <w:bookmarkStart w:colFirst="0" w:colLast="0" w:name="_heading=h.2bn6wsx" w:id="28"/>
      <w:bookmarkEnd w:id="28"/>
      <w:r w:rsidDel="00000000" w:rsidR="00000000" w:rsidRPr="00000000">
        <w:br w:type="page"/>
      </w:r>
      <w:r w:rsidDel="00000000" w:rsidR="00000000" w:rsidRPr="00000000">
        <w:rPr>
          <w:rtl w:val="0"/>
        </w:rPr>
      </w:r>
    </w:p>
    <w:p w:rsidR="00000000" w:rsidDel="00000000" w:rsidP="00000000" w:rsidRDefault="00000000" w:rsidRPr="00000000" w14:paraId="00000160">
      <w:pPr>
        <w:pStyle w:val="Heading1"/>
        <w:rPr/>
      </w:pPr>
      <w:bookmarkStart w:colFirst="0" w:colLast="0" w:name="_heading=h.m8iqso623m5y" w:id="29"/>
      <w:bookmarkEnd w:id="29"/>
      <w:r w:rsidDel="00000000" w:rsidR="00000000" w:rsidRPr="00000000">
        <w:rPr>
          <w:rtl w:val="0"/>
        </w:rPr>
        <w:t xml:space="preserve">Appendix IV– Electronic database pilot search Ovid Emcare</w:t>
      </w:r>
    </w:p>
    <w:p w:rsidR="00000000" w:rsidDel="00000000" w:rsidP="00000000" w:rsidRDefault="00000000" w:rsidRPr="00000000" w14:paraId="00000161">
      <w:pPr>
        <w:tabs>
          <w:tab w:val="left" w:pos="3960"/>
        </w:tabs>
        <w:rPr>
          <w:b w:val="1"/>
        </w:rPr>
      </w:pPr>
      <w:r w:rsidDel="00000000" w:rsidR="00000000" w:rsidRPr="00000000">
        <w:rPr>
          <w:rtl w:val="0"/>
        </w:rPr>
      </w:r>
    </w:p>
    <w:p w:rsidR="00000000" w:rsidDel="00000000" w:rsidP="00000000" w:rsidRDefault="00000000" w:rsidRPr="00000000" w14:paraId="00000162">
      <w:pPr>
        <w:tabs>
          <w:tab w:val="left" w:pos="3960"/>
        </w:tabs>
        <w:rPr>
          <w:b w:val="1"/>
        </w:rPr>
      </w:pPr>
      <w:r w:rsidDel="00000000" w:rsidR="00000000" w:rsidRPr="00000000">
        <w:rPr>
          <w:rtl w:val="0"/>
        </w:rPr>
      </w:r>
    </w:p>
    <w:tbl>
      <w:tblPr>
        <w:tblStyle w:val="Table8"/>
        <w:tblW w:w="9016.0" w:type="dxa"/>
        <w:jc w:val="left"/>
        <w:tblInd w:w="0.0" w:type="dxa"/>
        <w:tblBorders>
          <w:top w:color="9de1ce" w:space="0" w:sz="4" w:val="single"/>
          <w:left w:color="9de1ce" w:space="0" w:sz="4" w:val="single"/>
          <w:bottom w:color="9de1ce" w:space="0" w:sz="4" w:val="single"/>
          <w:right w:color="9de1ce" w:space="0" w:sz="4" w:val="single"/>
          <w:insideH w:color="9de1ce" w:space="0" w:sz="4" w:val="single"/>
          <w:insideV w:color="9de1ce" w:space="0" w:sz="4" w:val="single"/>
        </w:tblBorders>
        <w:tblLayout w:type="fixed"/>
        <w:tblLook w:val="04A0"/>
      </w:tblPr>
      <w:tblGrid>
        <w:gridCol w:w="1413"/>
        <w:gridCol w:w="4597"/>
        <w:gridCol w:w="3006"/>
        <w:tblGridChange w:id="0">
          <w:tblGrid>
            <w:gridCol w:w="1413"/>
            <w:gridCol w:w="4597"/>
            <w:gridCol w:w="30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rPr>
                <w:color w:val="000000"/>
              </w:rPr>
            </w:pPr>
            <w:r w:rsidDel="00000000" w:rsidR="00000000" w:rsidRPr="00000000">
              <w:rPr>
                <w:color w:val="000000"/>
                <w:rtl w:val="0"/>
              </w:rPr>
              <w:t xml:space="preserve">Search Number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rPr>
                <w:color w:val="000000"/>
              </w:rPr>
            </w:pPr>
            <w:r w:rsidDel="00000000" w:rsidR="00000000" w:rsidRPr="00000000">
              <w:rPr>
                <w:color w:val="000000"/>
                <w:rtl w:val="0"/>
              </w:rPr>
              <w:t xml:space="preserve">Search Terms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5">
            <w:pPr>
              <w:rPr>
                <w:color w:val="000000"/>
              </w:rPr>
            </w:pPr>
            <w:r w:rsidDel="00000000" w:rsidR="00000000" w:rsidRPr="00000000">
              <w:rPr>
                <w:color w:val="000000"/>
                <w:rtl w:val="0"/>
              </w:rPr>
              <w:t xml:space="preserve">Result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rPr>
                <w:color w:val="000000"/>
              </w:rPr>
            </w:pPr>
            <w:r w:rsidDel="00000000" w:rsidR="00000000" w:rsidRPr="00000000">
              <w:rPr>
                <w:color w:val="000000"/>
                <w:rtl w:val="0"/>
              </w:rPr>
              <w:t xml:space="preserve">1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7">
            <w:pPr>
              <w:rPr>
                <w:color w:val="000000"/>
              </w:rPr>
            </w:pPr>
            <w:r w:rsidDel="00000000" w:rsidR="00000000" w:rsidRPr="00000000">
              <w:rPr>
                <w:color w:val="000000"/>
                <w:rtl w:val="0"/>
              </w:rPr>
              <w:t xml:space="preserve">Allied Health or Allied Health Personnel or Case managers or Nutritionist or Occupational therap* or Physiotherap* or Physical therap* or Social work* or Chiropract* or Radiograph* or Sonograph* or Art therap* or Music therap* or Optometr* or Osteopath* or Podiatr* or Speech Path* or Speech language path*</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tabs>
                <w:tab w:val="center" w:pos="1395"/>
              </w:tabs>
              <w:rPr>
                <w:color w:val="000000"/>
              </w:rPr>
            </w:pPr>
            <w:r w:rsidDel="00000000" w:rsidR="00000000" w:rsidRPr="00000000">
              <w:rPr>
                <w:color w:val="000000"/>
                <w:rtl w:val="0"/>
              </w:rPr>
              <w:t xml:space="preserve">345252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9">
            <w:pPr>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A">
            <w:pPr>
              <w:rPr>
                <w:color w:val="000000"/>
              </w:rPr>
            </w:pPr>
            <w:r w:rsidDel="00000000" w:rsidR="00000000" w:rsidRPr="00000000">
              <w:rPr>
                <w:color w:val="000000"/>
                <w:rtl w:val="0"/>
              </w:rPr>
              <w:t xml:space="preserve">Transgender* or Transsexual* or Gender dysphoria or Genderqueer or Nonbinary or Gender nonconform* or Trans wom$n or Trans m$n or Sistagirl or Brotherboy or Two Spirit* or Non-binary or Gender fluid or Gender-fluid or Transmasculine or Transfeminine or Gender-diverse or Gender-variant or Transexual* or Gender affirm* or Gender identity or Transm$n or Trans male or Transwom$n or Trans female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rPr>
                <w:color w:val="000000"/>
              </w:rPr>
            </w:pPr>
            <w:r w:rsidDel="00000000" w:rsidR="00000000" w:rsidRPr="00000000">
              <w:rPr>
                <w:color w:val="000000"/>
                <w:rtl w:val="0"/>
              </w:rPr>
              <w:t xml:space="preserve">12543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rPr>
                <w:color w:val="000000"/>
              </w:rPr>
            </w:pPr>
            <w:r w:rsidDel="00000000" w:rsidR="00000000" w:rsidRPr="00000000">
              <w:rPr>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D">
            <w:pPr>
              <w:rPr>
                <w:color w:val="000000"/>
              </w:rPr>
            </w:pPr>
            <w:r w:rsidDel="00000000" w:rsidR="00000000" w:rsidRPr="00000000">
              <w:rPr>
                <w:color w:val="000000"/>
                <w:rtl w:val="0"/>
              </w:rPr>
              <w:t xml:space="preserve">exp transgender/ or exp male to female transgender/ or exp female to male transgender/ or exp gender dysphoria/ or exp transsexualism/ or exp transgenderism/ or exp transsexuality/</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rPr>
                <w:color w:val="000000"/>
              </w:rPr>
            </w:pPr>
            <w:r w:rsidDel="00000000" w:rsidR="00000000" w:rsidRPr="00000000">
              <w:rPr>
                <w:color w:val="000000"/>
                <w:rtl w:val="0"/>
              </w:rPr>
              <w:t xml:space="preserve">6690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F">
            <w:pPr>
              <w:rPr>
                <w:color w:val="000000"/>
              </w:rPr>
            </w:pPr>
            <w:r w:rsidDel="00000000" w:rsidR="00000000" w:rsidRPr="00000000">
              <w:rPr>
                <w:color w:val="000000"/>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tabs>
                <w:tab w:val="left" w:pos="1269"/>
              </w:tabs>
              <w:rPr>
                <w:color w:val="000000"/>
              </w:rPr>
            </w:pPr>
            <w:r w:rsidDel="00000000" w:rsidR="00000000" w:rsidRPr="00000000">
              <w:rPr>
                <w:color w:val="000000"/>
                <w:rtl w:val="0"/>
              </w:rPr>
              <w:t xml:space="preserve">2 or 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rPr>
                <w:color w:val="000000"/>
              </w:rPr>
            </w:pPr>
            <w:r w:rsidDel="00000000" w:rsidR="00000000" w:rsidRPr="00000000">
              <w:rPr>
                <w:color w:val="000000"/>
                <w:rtl w:val="0"/>
              </w:rPr>
              <w:t xml:space="preserve">12543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rPr>
                <w:color w:val="000000"/>
              </w:rPr>
            </w:pPr>
            <w:r w:rsidDel="00000000" w:rsidR="00000000" w:rsidRPr="00000000">
              <w:rPr>
                <w:color w:val="00000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rPr>
                <w:color w:val="000000"/>
              </w:rPr>
            </w:pPr>
            <w:r w:rsidDel="00000000" w:rsidR="00000000" w:rsidRPr="00000000">
              <w:rPr>
                <w:color w:val="000000"/>
                <w:rtl w:val="0"/>
              </w:rPr>
              <w:t xml:space="preserve">1 and 4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rPr>
                <w:color w:val="000000"/>
              </w:rPr>
            </w:pPr>
            <w:r w:rsidDel="00000000" w:rsidR="00000000" w:rsidRPr="00000000">
              <w:rPr>
                <w:color w:val="000000"/>
                <w:rtl w:val="0"/>
              </w:rPr>
              <w:t xml:space="preserve">393</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5">
            <w:pPr>
              <w:rPr>
                <w:color w:val="000000"/>
              </w:rPr>
            </w:pPr>
            <w:r w:rsidDel="00000000" w:rsidR="00000000" w:rsidRPr="00000000">
              <w:rPr>
                <w:color w:val="000000"/>
                <w:rtl w:val="0"/>
              </w:rPr>
              <w:t xml:space="preserve">6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6">
            <w:pPr>
              <w:rPr>
                <w:color w:val="000000"/>
              </w:rPr>
            </w:pPr>
            <w:r w:rsidDel="00000000" w:rsidR="00000000" w:rsidRPr="00000000">
              <w:rPr>
                <w:color w:val="000000"/>
                <w:rtl w:val="0"/>
              </w:rPr>
              <w:t xml:space="preserve">limit 5 to yr="2000 -Current"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7">
            <w:pPr>
              <w:rPr>
                <w:color w:val="000000"/>
              </w:rPr>
            </w:pPr>
            <w:r w:rsidDel="00000000" w:rsidR="00000000" w:rsidRPr="00000000">
              <w:rPr>
                <w:color w:val="000000"/>
                <w:rtl w:val="0"/>
              </w:rPr>
              <w:t xml:space="preserve">381</w:t>
            </w:r>
          </w:p>
        </w:tc>
      </w:tr>
    </w:tbl>
    <w:p w:rsidR="00000000" w:rsidDel="00000000" w:rsidP="00000000" w:rsidRDefault="00000000" w:rsidRPr="00000000" w14:paraId="00000178">
      <w:pPr>
        <w:tabs>
          <w:tab w:val="left" w:pos="3960"/>
        </w:tabs>
        <w:rPr>
          <w:b w:val="1"/>
        </w:rPr>
      </w:pPr>
      <w:r w:rsidDel="00000000" w:rsidR="00000000" w:rsidRPr="00000000">
        <w:rPr>
          <w:rtl w:val="0"/>
        </w:rPr>
      </w:r>
    </w:p>
    <w:p w:rsidR="00000000" w:rsidDel="00000000" w:rsidP="00000000" w:rsidRDefault="00000000" w:rsidRPr="00000000" w14:paraId="00000179">
      <w:pPr>
        <w:tabs>
          <w:tab w:val="left" w:pos="3960"/>
        </w:tabs>
        <w:rPr>
          <w:b w:val="1"/>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b w:val="1"/>
        </w:rPr>
      </w:pPr>
      <w:r w:rsidDel="00000000" w:rsidR="00000000" w:rsidRPr="00000000">
        <w:rPr>
          <w:rtl w:val="0"/>
        </w:rPr>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rtl w:val="0"/>
        </w:rPr>
      </w:r>
    </w:p>
    <w:p w:rsidR="00000000" w:rsidDel="00000000" w:rsidP="00000000" w:rsidRDefault="00000000" w:rsidRPr="00000000" w14:paraId="0000017F">
      <w:pPr>
        <w:rPr>
          <w:b w:val="1"/>
        </w:rPr>
      </w:pPr>
      <w:r w:rsidDel="00000000" w:rsidR="00000000" w:rsidRPr="00000000">
        <w:rPr>
          <w:rtl w:val="0"/>
        </w:rPr>
      </w:r>
    </w:p>
    <w:p w:rsidR="00000000" w:rsidDel="00000000" w:rsidP="00000000" w:rsidRDefault="00000000" w:rsidRPr="00000000" w14:paraId="00000180">
      <w:pPr>
        <w:pStyle w:val="Heading1"/>
        <w:tabs>
          <w:tab w:val="left" w:pos="3960"/>
        </w:tabs>
        <w:rPr/>
      </w:pPr>
      <w:bookmarkStart w:colFirst="0" w:colLast="0" w:name="_heading=h.nl0sdgbdr3i1" w:id="30"/>
      <w:bookmarkEnd w:id="30"/>
      <w:r w:rsidDel="00000000" w:rsidR="00000000" w:rsidRPr="00000000">
        <w:br w:type="page"/>
      </w:r>
      <w:r w:rsidDel="00000000" w:rsidR="00000000" w:rsidRPr="00000000">
        <w:rPr>
          <w:rtl w:val="0"/>
        </w:rPr>
      </w:r>
    </w:p>
    <w:p w:rsidR="00000000" w:rsidDel="00000000" w:rsidP="00000000" w:rsidRDefault="00000000" w:rsidRPr="00000000" w14:paraId="00000181">
      <w:pPr>
        <w:pStyle w:val="Heading1"/>
        <w:tabs>
          <w:tab w:val="left" w:pos="3960"/>
        </w:tabs>
        <w:rPr/>
      </w:pPr>
      <w:bookmarkStart w:colFirst="0" w:colLast="0" w:name="_heading=h.lfjo3xrr1leo" w:id="31"/>
      <w:bookmarkEnd w:id="31"/>
      <w:r w:rsidDel="00000000" w:rsidR="00000000" w:rsidRPr="00000000">
        <w:rPr>
          <w:rtl w:val="0"/>
        </w:rPr>
        <w:t xml:space="preserve">Appendix V - Allied Health Professions Australia </w:t>
      </w:r>
    </w:p>
    <w:p w:rsidR="00000000" w:rsidDel="00000000" w:rsidP="00000000" w:rsidRDefault="00000000" w:rsidRPr="00000000" w14:paraId="00000182">
      <w:pPr>
        <w:tabs>
          <w:tab w:val="left" w:pos="3960"/>
        </w:tabs>
        <w:ind w:left="720" w:firstLine="0"/>
        <w:rPr/>
      </w:pPr>
      <w:r w:rsidDel="00000000" w:rsidR="00000000" w:rsidRPr="00000000">
        <w:rPr>
          <w:rtl w:val="0"/>
        </w:rPr>
      </w:r>
    </w:p>
    <w:p w:rsidR="00000000" w:rsidDel="00000000" w:rsidP="00000000" w:rsidRDefault="00000000" w:rsidRPr="00000000" w14:paraId="00000183">
      <w:pPr>
        <w:numPr>
          <w:ilvl w:val="0"/>
          <w:numId w:val="2"/>
        </w:numPr>
        <w:tabs>
          <w:tab w:val="left" w:pos="3960"/>
        </w:tabs>
        <w:ind w:left="720" w:hanging="360"/>
        <w:rPr>
          <w:u w:val="none"/>
        </w:rPr>
      </w:pPr>
      <w:r w:rsidDel="00000000" w:rsidR="00000000" w:rsidRPr="00000000">
        <w:rPr>
          <w:rtl w:val="0"/>
        </w:rPr>
        <w:t xml:space="preserve">Art therapy </w:t>
      </w:r>
    </w:p>
    <w:p w:rsidR="00000000" w:rsidDel="00000000" w:rsidP="00000000" w:rsidRDefault="00000000" w:rsidRPr="00000000" w14:paraId="00000184">
      <w:pPr>
        <w:numPr>
          <w:ilvl w:val="0"/>
          <w:numId w:val="2"/>
        </w:numPr>
        <w:tabs>
          <w:tab w:val="left" w:pos="3960"/>
        </w:tabs>
        <w:ind w:left="720" w:hanging="360"/>
        <w:rPr>
          <w:u w:val="none"/>
        </w:rPr>
      </w:pPr>
      <w:r w:rsidDel="00000000" w:rsidR="00000000" w:rsidRPr="00000000">
        <w:rPr>
          <w:rtl w:val="0"/>
        </w:rPr>
        <w:t xml:space="preserve">Audiology </w:t>
      </w:r>
    </w:p>
    <w:p w:rsidR="00000000" w:rsidDel="00000000" w:rsidP="00000000" w:rsidRDefault="00000000" w:rsidRPr="00000000" w14:paraId="00000185">
      <w:pPr>
        <w:numPr>
          <w:ilvl w:val="0"/>
          <w:numId w:val="2"/>
        </w:numPr>
        <w:tabs>
          <w:tab w:val="left" w:pos="3960"/>
        </w:tabs>
        <w:ind w:left="720" w:hanging="360"/>
        <w:rPr>
          <w:u w:val="none"/>
        </w:rPr>
      </w:pPr>
      <w:r w:rsidDel="00000000" w:rsidR="00000000" w:rsidRPr="00000000">
        <w:rPr>
          <w:rtl w:val="0"/>
        </w:rPr>
        <w:t xml:space="preserve">Chiropractic</w:t>
      </w:r>
    </w:p>
    <w:p w:rsidR="00000000" w:rsidDel="00000000" w:rsidP="00000000" w:rsidRDefault="00000000" w:rsidRPr="00000000" w14:paraId="00000186">
      <w:pPr>
        <w:numPr>
          <w:ilvl w:val="0"/>
          <w:numId w:val="2"/>
        </w:numPr>
        <w:tabs>
          <w:tab w:val="left" w:pos="3960"/>
        </w:tabs>
        <w:ind w:left="720" w:hanging="360"/>
        <w:rPr>
          <w:u w:val="none"/>
        </w:rPr>
      </w:pPr>
      <w:r w:rsidDel="00000000" w:rsidR="00000000" w:rsidRPr="00000000">
        <w:rPr>
          <w:rtl w:val="0"/>
        </w:rPr>
        <w:t xml:space="preserve">Dietetics </w:t>
      </w:r>
    </w:p>
    <w:p w:rsidR="00000000" w:rsidDel="00000000" w:rsidP="00000000" w:rsidRDefault="00000000" w:rsidRPr="00000000" w14:paraId="00000187">
      <w:pPr>
        <w:numPr>
          <w:ilvl w:val="0"/>
          <w:numId w:val="2"/>
        </w:numPr>
        <w:tabs>
          <w:tab w:val="left" w:pos="3960"/>
        </w:tabs>
        <w:ind w:left="720" w:hanging="360"/>
        <w:rPr>
          <w:u w:val="none"/>
        </w:rPr>
      </w:pPr>
      <w:r w:rsidDel="00000000" w:rsidR="00000000" w:rsidRPr="00000000">
        <w:rPr>
          <w:rtl w:val="0"/>
        </w:rPr>
        <w:t xml:space="preserve">Exercise Physiology </w:t>
      </w:r>
    </w:p>
    <w:p w:rsidR="00000000" w:rsidDel="00000000" w:rsidP="00000000" w:rsidRDefault="00000000" w:rsidRPr="00000000" w14:paraId="00000188">
      <w:pPr>
        <w:numPr>
          <w:ilvl w:val="0"/>
          <w:numId w:val="2"/>
        </w:numPr>
        <w:tabs>
          <w:tab w:val="left" w:pos="3960"/>
        </w:tabs>
        <w:ind w:left="720" w:hanging="360"/>
        <w:rPr>
          <w:u w:val="none"/>
        </w:rPr>
      </w:pPr>
      <w:r w:rsidDel="00000000" w:rsidR="00000000" w:rsidRPr="00000000">
        <w:rPr>
          <w:rtl w:val="0"/>
        </w:rPr>
        <w:t xml:space="preserve">Genetic counselling </w:t>
      </w:r>
    </w:p>
    <w:p w:rsidR="00000000" w:rsidDel="00000000" w:rsidP="00000000" w:rsidRDefault="00000000" w:rsidRPr="00000000" w14:paraId="00000189">
      <w:pPr>
        <w:numPr>
          <w:ilvl w:val="0"/>
          <w:numId w:val="2"/>
        </w:numPr>
        <w:tabs>
          <w:tab w:val="left" w:pos="3960"/>
        </w:tabs>
        <w:ind w:left="720" w:hanging="360"/>
        <w:rPr>
          <w:u w:val="none"/>
        </w:rPr>
      </w:pPr>
      <w:r w:rsidDel="00000000" w:rsidR="00000000" w:rsidRPr="00000000">
        <w:rPr>
          <w:rtl w:val="0"/>
        </w:rPr>
        <w:t xml:space="preserve">Medical radiations </w:t>
      </w:r>
    </w:p>
    <w:p w:rsidR="00000000" w:rsidDel="00000000" w:rsidP="00000000" w:rsidRDefault="00000000" w:rsidRPr="00000000" w14:paraId="0000018A">
      <w:pPr>
        <w:numPr>
          <w:ilvl w:val="0"/>
          <w:numId w:val="2"/>
        </w:numPr>
        <w:tabs>
          <w:tab w:val="left" w:pos="3960"/>
        </w:tabs>
        <w:ind w:left="720" w:hanging="360"/>
        <w:rPr>
          <w:u w:val="none"/>
        </w:rPr>
      </w:pPr>
      <w:r w:rsidDel="00000000" w:rsidR="00000000" w:rsidRPr="00000000">
        <w:rPr>
          <w:rtl w:val="0"/>
        </w:rPr>
        <w:t xml:space="preserve">Music therapy </w:t>
      </w:r>
    </w:p>
    <w:p w:rsidR="00000000" w:rsidDel="00000000" w:rsidP="00000000" w:rsidRDefault="00000000" w:rsidRPr="00000000" w14:paraId="0000018B">
      <w:pPr>
        <w:numPr>
          <w:ilvl w:val="0"/>
          <w:numId w:val="2"/>
        </w:numPr>
        <w:tabs>
          <w:tab w:val="left" w:pos="3960"/>
        </w:tabs>
        <w:ind w:left="720" w:hanging="360"/>
        <w:rPr>
          <w:u w:val="none"/>
        </w:rPr>
      </w:pPr>
      <w:r w:rsidDel="00000000" w:rsidR="00000000" w:rsidRPr="00000000">
        <w:rPr>
          <w:rtl w:val="0"/>
        </w:rPr>
        <w:t xml:space="preserve">Occupational therapy </w:t>
      </w:r>
    </w:p>
    <w:p w:rsidR="00000000" w:rsidDel="00000000" w:rsidP="00000000" w:rsidRDefault="00000000" w:rsidRPr="00000000" w14:paraId="0000018C">
      <w:pPr>
        <w:numPr>
          <w:ilvl w:val="0"/>
          <w:numId w:val="2"/>
        </w:numPr>
        <w:tabs>
          <w:tab w:val="left" w:pos="3960"/>
        </w:tabs>
        <w:ind w:left="720" w:hanging="360"/>
        <w:rPr>
          <w:u w:val="none"/>
        </w:rPr>
      </w:pPr>
      <w:r w:rsidDel="00000000" w:rsidR="00000000" w:rsidRPr="00000000">
        <w:rPr>
          <w:rtl w:val="0"/>
        </w:rPr>
        <w:t xml:space="preserve">Optometry</w:t>
      </w:r>
    </w:p>
    <w:p w:rsidR="00000000" w:rsidDel="00000000" w:rsidP="00000000" w:rsidRDefault="00000000" w:rsidRPr="00000000" w14:paraId="0000018D">
      <w:pPr>
        <w:numPr>
          <w:ilvl w:val="0"/>
          <w:numId w:val="2"/>
        </w:numPr>
        <w:tabs>
          <w:tab w:val="left" w:pos="3960"/>
        </w:tabs>
        <w:ind w:left="720" w:hanging="360"/>
        <w:rPr>
          <w:u w:val="none"/>
        </w:rPr>
      </w:pPr>
      <w:r w:rsidDel="00000000" w:rsidR="00000000" w:rsidRPr="00000000">
        <w:rPr>
          <w:rtl w:val="0"/>
        </w:rPr>
        <w:t xml:space="preserve">Orthoptics</w:t>
      </w:r>
    </w:p>
    <w:p w:rsidR="00000000" w:rsidDel="00000000" w:rsidP="00000000" w:rsidRDefault="00000000" w:rsidRPr="00000000" w14:paraId="0000018E">
      <w:pPr>
        <w:numPr>
          <w:ilvl w:val="0"/>
          <w:numId w:val="2"/>
        </w:numPr>
        <w:tabs>
          <w:tab w:val="left" w:pos="3960"/>
        </w:tabs>
        <w:ind w:left="720" w:hanging="360"/>
        <w:rPr>
          <w:u w:val="none"/>
        </w:rPr>
      </w:pPr>
      <w:r w:rsidDel="00000000" w:rsidR="00000000" w:rsidRPr="00000000">
        <w:rPr>
          <w:rtl w:val="0"/>
        </w:rPr>
        <w:t xml:space="preserve">Orthotics/Prosthetics</w:t>
      </w:r>
    </w:p>
    <w:p w:rsidR="00000000" w:rsidDel="00000000" w:rsidP="00000000" w:rsidRDefault="00000000" w:rsidRPr="00000000" w14:paraId="0000018F">
      <w:pPr>
        <w:numPr>
          <w:ilvl w:val="0"/>
          <w:numId w:val="2"/>
        </w:numPr>
        <w:tabs>
          <w:tab w:val="left" w:pos="3960"/>
        </w:tabs>
        <w:ind w:left="720" w:hanging="360"/>
        <w:rPr>
          <w:u w:val="none"/>
        </w:rPr>
      </w:pPr>
      <w:r w:rsidDel="00000000" w:rsidR="00000000" w:rsidRPr="00000000">
        <w:rPr>
          <w:rtl w:val="0"/>
        </w:rPr>
        <w:t xml:space="preserve">Osteopathy</w:t>
      </w:r>
    </w:p>
    <w:p w:rsidR="00000000" w:rsidDel="00000000" w:rsidP="00000000" w:rsidRDefault="00000000" w:rsidRPr="00000000" w14:paraId="00000190">
      <w:pPr>
        <w:numPr>
          <w:ilvl w:val="0"/>
          <w:numId w:val="2"/>
        </w:numPr>
        <w:tabs>
          <w:tab w:val="left" w:pos="3960"/>
        </w:tabs>
        <w:ind w:left="720" w:hanging="360"/>
        <w:rPr>
          <w:u w:val="none"/>
        </w:rPr>
      </w:pPr>
      <w:r w:rsidDel="00000000" w:rsidR="00000000" w:rsidRPr="00000000">
        <w:rPr>
          <w:rtl w:val="0"/>
        </w:rPr>
        <w:t xml:space="preserve">Perfusion</w:t>
      </w:r>
    </w:p>
    <w:p w:rsidR="00000000" w:rsidDel="00000000" w:rsidP="00000000" w:rsidRDefault="00000000" w:rsidRPr="00000000" w14:paraId="00000191">
      <w:pPr>
        <w:numPr>
          <w:ilvl w:val="0"/>
          <w:numId w:val="2"/>
        </w:numPr>
        <w:tabs>
          <w:tab w:val="left" w:pos="3960"/>
        </w:tabs>
        <w:ind w:left="720" w:hanging="360"/>
        <w:rPr>
          <w:u w:val="none"/>
        </w:rPr>
      </w:pPr>
      <w:r w:rsidDel="00000000" w:rsidR="00000000" w:rsidRPr="00000000">
        <w:rPr>
          <w:rtl w:val="0"/>
        </w:rPr>
        <w:t xml:space="preserve">Physiotherapy </w:t>
      </w:r>
    </w:p>
    <w:p w:rsidR="00000000" w:rsidDel="00000000" w:rsidP="00000000" w:rsidRDefault="00000000" w:rsidRPr="00000000" w14:paraId="00000192">
      <w:pPr>
        <w:numPr>
          <w:ilvl w:val="0"/>
          <w:numId w:val="2"/>
        </w:numPr>
        <w:tabs>
          <w:tab w:val="left" w:pos="3960"/>
        </w:tabs>
        <w:ind w:left="720" w:hanging="360"/>
        <w:rPr>
          <w:u w:val="none"/>
        </w:rPr>
      </w:pPr>
      <w:r w:rsidDel="00000000" w:rsidR="00000000" w:rsidRPr="00000000">
        <w:rPr>
          <w:rtl w:val="0"/>
        </w:rPr>
        <w:t xml:space="preserve">Podiatry </w:t>
      </w:r>
    </w:p>
    <w:p w:rsidR="00000000" w:rsidDel="00000000" w:rsidP="00000000" w:rsidRDefault="00000000" w:rsidRPr="00000000" w14:paraId="00000193">
      <w:pPr>
        <w:numPr>
          <w:ilvl w:val="0"/>
          <w:numId w:val="2"/>
        </w:numPr>
        <w:tabs>
          <w:tab w:val="left" w:pos="3960"/>
        </w:tabs>
        <w:ind w:left="720" w:hanging="360"/>
        <w:rPr>
          <w:u w:val="none"/>
        </w:rPr>
      </w:pPr>
      <w:r w:rsidDel="00000000" w:rsidR="00000000" w:rsidRPr="00000000">
        <w:rPr>
          <w:rtl w:val="0"/>
        </w:rPr>
        <w:t xml:space="preserve">Psychology </w:t>
      </w:r>
    </w:p>
    <w:p w:rsidR="00000000" w:rsidDel="00000000" w:rsidP="00000000" w:rsidRDefault="00000000" w:rsidRPr="00000000" w14:paraId="00000194">
      <w:pPr>
        <w:numPr>
          <w:ilvl w:val="0"/>
          <w:numId w:val="2"/>
        </w:numPr>
        <w:tabs>
          <w:tab w:val="left" w:pos="3960"/>
        </w:tabs>
        <w:ind w:left="720" w:hanging="360"/>
        <w:rPr>
          <w:u w:val="none"/>
        </w:rPr>
      </w:pPr>
      <w:r w:rsidDel="00000000" w:rsidR="00000000" w:rsidRPr="00000000">
        <w:rPr>
          <w:rtl w:val="0"/>
        </w:rPr>
        <w:t xml:space="preserve">Rehabilitation counselling </w:t>
      </w:r>
    </w:p>
    <w:p w:rsidR="00000000" w:rsidDel="00000000" w:rsidP="00000000" w:rsidRDefault="00000000" w:rsidRPr="00000000" w14:paraId="00000195">
      <w:pPr>
        <w:numPr>
          <w:ilvl w:val="0"/>
          <w:numId w:val="2"/>
        </w:numPr>
        <w:tabs>
          <w:tab w:val="left" w:pos="3960"/>
        </w:tabs>
        <w:ind w:left="720" w:hanging="360"/>
        <w:rPr>
          <w:u w:val="none"/>
        </w:rPr>
      </w:pPr>
      <w:r w:rsidDel="00000000" w:rsidR="00000000" w:rsidRPr="00000000">
        <w:rPr>
          <w:rtl w:val="0"/>
        </w:rPr>
        <w:t xml:space="preserve">Social work </w:t>
      </w:r>
    </w:p>
    <w:p w:rsidR="00000000" w:rsidDel="00000000" w:rsidP="00000000" w:rsidRDefault="00000000" w:rsidRPr="00000000" w14:paraId="00000196">
      <w:pPr>
        <w:numPr>
          <w:ilvl w:val="0"/>
          <w:numId w:val="2"/>
        </w:numPr>
        <w:tabs>
          <w:tab w:val="left" w:pos="3960"/>
        </w:tabs>
        <w:ind w:left="720" w:hanging="360"/>
        <w:rPr>
          <w:u w:val="none"/>
        </w:rPr>
      </w:pPr>
      <w:r w:rsidDel="00000000" w:rsidR="00000000" w:rsidRPr="00000000">
        <w:rPr>
          <w:rtl w:val="0"/>
        </w:rPr>
        <w:t xml:space="preserve">Sonography </w:t>
      </w:r>
    </w:p>
    <w:p w:rsidR="00000000" w:rsidDel="00000000" w:rsidP="00000000" w:rsidRDefault="00000000" w:rsidRPr="00000000" w14:paraId="00000197">
      <w:pPr>
        <w:numPr>
          <w:ilvl w:val="0"/>
          <w:numId w:val="2"/>
        </w:numPr>
        <w:tabs>
          <w:tab w:val="left" w:pos="3960"/>
        </w:tabs>
        <w:ind w:left="720" w:hanging="360"/>
        <w:rPr>
          <w:u w:val="none"/>
        </w:rPr>
      </w:pPr>
      <w:r w:rsidDel="00000000" w:rsidR="00000000" w:rsidRPr="00000000">
        <w:rPr>
          <w:rtl w:val="0"/>
        </w:rPr>
        <w:t xml:space="preserve">Speech pathology</w:t>
      </w:r>
    </w:p>
    <w:p w:rsidR="00000000" w:rsidDel="00000000" w:rsidP="00000000" w:rsidRDefault="00000000" w:rsidRPr="00000000" w14:paraId="00000198">
      <w:pPr>
        <w:tabs>
          <w:tab w:val="left" w:pos="3960"/>
        </w:tabs>
        <w:ind w:left="0" w:firstLine="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992.1259842519685" w:right="1440"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B">
    <w:pPr>
      <w:tabs>
        <w:tab w:val="center" w:pos="4513"/>
        <w:tab w:val="right" w:pos="9026"/>
      </w:tabs>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t xml:space="preserve">Version 1, May 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Version 1, May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886354"/>
    <w:rPr>
      <w:sz w:val="24"/>
      <w:szCs w:val="24"/>
    </w:rPr>
  </w:style>
  <w:style w:type="paragraph" w:styleId="Heading1">
    <w:name w:val="heading 1"/>
    <w:basedOn w:val="Normal"/>
    <w:next w:val="Normal"/>
    <w:link w:val="Heading1Char"/>
    <w:uiPriority w:val="9"/>
    <w:qFormat w:val="1"/>
    <w:rsid w:val="00886354"/>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unhideWhenUsed w:val="1"/>
    <w:qFormat w:val="1"/>
    <w:rsid w:val="00886354"/>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886354"/>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886354"/>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886354"/>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886354"/>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886354"/>
    <w:pPr>
      <w:spacing w:after="60" w:before="240"/>
      <w:outlineLvl w:val="6"/>
    </w:pPr>
  </w:style>
  <w:style w:type="paragraph" w:styleId="Heading8">
    <w:name w:val="heading 8"/>
    <w:basedOn w:val="Normal"/>
    <w:next w:val="Normal"/>
    <w:link w:val="Heading8Char"/>
    <w:uiPriority w:val="9"/>
    <w:semiHidden w:val="1"/>
    <w:unhideWhenUsed w:val="1"/>
    <w:qFormat w:val="1"/>
    <w:rsid w:val="00886354"/>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886354"/>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86354"/>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rsid w:val="00886354"/>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886354"/>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886354"/>
    <w:rPr>
      <w:b w:val="1"/>
      <w:bCs w:val="1"/>
      <w:sz w:val="28"/>
      <w:szCs w:val="28"/>
    </w:rPr>
  </w:style>
  <w:style w:type="character" w:styleId="Heading5Char" w:customStyle="1">
    <w:name w:val="Heading 5 Char"/>
    <w:basedOn w:val="DefaultParagraphFont"/>
    <w:link w:val="Heading5"/>
    <w:uiPriority w:val="9"/>
    <w:semiHidden w:val="1"/>
    <w:rsid w:val="00886354"/>
    <w:rPr>
      <w:b w:val="1"/>
      <w:bCs w:val="1"/>
      <w:i w:val="1"/>
      <w:iCs w:val="1"/>
      <w:sz w:val="26"/>
      <w:szCs w:val="26"/>
    </w:rPr>
  </w:style>
  <w:style w:type="character" w:styleId="Heading6Char" w:customStyle="1">
    <w:name w:val="Heading 6 Char"/>
    <w:basedOn w:val="DefaultParagraphFont"/>
    <w:link w:val="Heading6"/>
    <w:uiPriority w:val="9"/>
    <w:semiHidden w:val="1"/>
    <w:rsid w:val="00886354"/>
    <w:rPr>
      <w:b w:val="1"/>
      <w:bCs w:val="1"/>
    </w:rPr>
  </w:style>
  <w:style w:type="character" w:styleId="Heading7Char" w:customStyle="1">
    <w:name w:val="Heading 7 Char"/>
    <w:basedOn w:val="DefaultParagraphFont"/>
    <w:link w:val="Heading7"/>
    <w:uiPriority w:val="9"/>
    <w:semiHidden w:val="1"/>
    <w:rsid w:val="00886354"/>
    <w:rPr>
      <w:sz w:val="24"/>
      <w:szCs w:val="24"/>
    </w:rPr>
  </w:style>
  <w:style w:type="character" w:styleId="Heading8Char" w:customStyle="1">
    <w:name w:val="Heading 8 Char"/>
    <w:basedOn w:val="DefaultParagraphFont"/>
    <w:link w:val="Heading8"/>
    <w:uiPriority w:val="9"/>
    <w:semiHidden w:val="1"/>
    <w:rsid w:val="00886354"/>
    <w:rPr>
      <w:i w:val="1"/>
      <w:iCs w:val="1"/>
      <w:sz w:val="24"/>
      <w:szCs w:val="24"/>
    </w:rPr>
  </w:style>
  <w:style w:type="character" w:styleId="Heading9Char" w:customStyle="1">
    <w:name w:val="Heading 9 Char"/>
    <w:basedOn w:val="DefaultParagraphFont"/>
    <w:link w:val="Heading9"/>
    <w:uiPriority w:val="9"/>
    <w:semiHidden w:val="1"/>
    <w:rsid w:val="00886354"/>
    <w:rPr>
      <w:rFonts w:asciiTheme="majorHAnsi" w:eastAsiaTheme="majorEastAsia" w:hAnsiTheme="majorHAnsi"/>
    </w:rPr>
  </w:style>
  <w:style w:type="paragraph" w:styleId="Caption">
    <w:name w:val="caption"/>
    <w:basedOn w:val="Normal"/>
    <w:next w:val="Normal"/>
    <w:uiPriority w:val="35"/>
    <w:semiHidden w:val="1"/>
    <w:unhideWhenUsed w:val="1"/>
    <w:rsid w:val="00FC2737"/>
    <w:rPr>
      <w:b w:val="1"/>
      <w:bCs w:val="1"/>
      <w:color w:val="31479e" w:themeColor="accent1" w:themeShade="0000BF"/>
      <w:sz w:val="16"/>
      <w:szCs w:val="16"/>
    </w:rPr>
  </w:style>
  <w:style w:type="paragraph" w:styleId="Title">
    <w:name w:val="Title"/>
    <w:basedOn w:val="Normal"/>
    <w:next w:val="Normal"/>
    <w:link w:val="TitleChar"/>
    <w:uiPriority w:val="10"/>
    <w:qFormat w:val="1"/>
    <w:rsid w:val="00886354"/>
    <w:pPr>
      <w:spacing w:after="60" w:before="240"/>
      <w:jc w:val="center"/>
      <w:outlineLvl w:val="0"/>
    </w:pPr>
    <w:rPr>
      <w:rFonts w:asciiTheme="majorHAnsi" w:cstheme="majorBidi" w:eastAsiaTheme="majorEastAsia" w:hAnsiTheme="majorHAnsi"/>
      <w:b w:val="1"/>
      <w:bCs w:val="1"/>
      <w:kern w:val="28"/>
      <w:sz w:val="32"/>
      <w:szCs w:val="32"/>
    </w:rPr>
  </w:style>
  <w:style w:type="character" w:styleId="TitleChar" w:customStyle="1">
    <w:name w:val="Title Char"/>
    <w:basedOn w:val="DefaultParagraphFont"/>
    <w:link w:val="Title"/>
    <w:uiPriority w:val="10"/>
    <w:rsid w:val="00886354"/>
    <w:rPr>
      <w:rFonts w:asciiTheme="majorHAnsi" w:cstheme="majorBid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886354"/>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886354"/>
    <w:rPr>
      <w:rFonts w:asciiTheme="majorHAnsi" w:eastAsiaTheme="majorEastAsia" w:hAnsiTheme="majorHAnsi"/>
      <w:sz w:val="24"/>
      <w:szCs w:val="24"/>
    </w:rPr>
  </w:style>
  <w:style w:type="character" w:styleId="Strong">
    <w:name w:val="Strong"/>
    <w:basedOn w:val="DefaultParagraphFont"/>
    <w:uiPriority w:val="22"/>
    <w:qFormat w:val="1"/>
    <w:rsid w:val="00886354"/>
    <w:rPr>
      <w:b w:val="1"/>
      <w:bCs w:val="1"/>
    </w:rPr>
  </w:style>
  <w:style w:type="character" w:styleId="Emphasis">
    <w:name w:val="Emphasis"/>
    <w:basedOn w:val="DefaultParagraphFont"/>
    <w:uiPriority w:val="20"/>
    <w:qFormat w:val="1"/>
    <w:rsid w:val="00886354"/>
    <w:rPr>
      <w:rFonts w:asciiTheme="minorHAnsi" w:hAnsiTheme="minorHAnsi"/>
      <w:b w:val="1"/>
      <w:i w:val="1"/>
      <w:iCs w:val="1"/>
    </w:rPr>
  </w:style>
  <w:style w:type="paragraph" w:styleId="NoSpacing">
    <w:name w:val="No Spacing"/>
    <w:basedOn w:val="Normal"/>
    <w:link w:val="NoSpacingChar"/>
    <w:uiPriority w:val="1"/>
    <w:qFormat w:val="1"/>
    <w:rsid w:val="00886354"/>
    <w:rPr>
      <w:szCs w:val="32"/>
    </w:rPr>
  </w:style>
  <w:style w:type="paragraph" w:styleId="Quote">
    <w:name w:val="Quote"/>
    <w:basedOn w:val="Normal"/>
    <w:next w:val="Normal"/>
    <w:link w:val="QuoteChar"/>
    <w:uiPriority w:val="29"/>
    <w:qFormat w:val="1"/>
    <w:rsid w:val="00886354"/>
    <w:rPr>
      <w:i w:val="1"/>
    </w:rPr>
  </w:style>
  <w:style w:type="character" w:styleId="QuoteChar" w:customStyle="1">
    <w:name w:val="Quote Char"/>
    <w:basedOn w:val="DefaultParagraphFont"/>
    <w:link w:val="Quote"/>
    <w:uiPriority w:val="29"/>
    <w:rsid w:val="00886354"/>
    <w:rPr>
      <w:i w:val="1"/>
      <w:sz w:val="24"/>
      <w:szCs w:val="24"/>
    </w:rPr>
  </w:style>
  <w:style w:type="paragraph" w:styleId="IntenseQuote">
    <w:name w:val="Intense Quote"/>
    <w:basedOn w:val="Normal"/>
    <w:next w:val="Normal"/>
    <w:link w:val="IntenseQuoteChar"/>
    <w:uiPriority w:val="30"/>
    <w:qFormat w:val="1"/>
    <w:rsid w:val="00886354"/>
    <w:pPr>
      <w:ind w:left="720" w:right="720"/>
    </w:pPr>
    <w:rPr>
      <w:b w:val="1"/>
      <w:i w:val="1"/>
      <w:szCs w:val="22"/>
    </w:rPr>
  </w:style>
  <w:style w:type="character" w:styleId="IntenseQuoteChar" w:customStyle="1">
    <w:name w:val="Intense Quote Char"/>
    <w:basedOn w:val="DefaultParagraphFont"/>
    <w:link w:val="IntenseQuote"/>
    <w:uiPriority w:val="30"/>
    <w:rsid w:val="00886354"/>
    <w:rPr>
      <w:b w:val="1"/>
      <w:i w:val="1"/>
      <w:sz w:val="24"/>
    </w:rPr>
  </w:style>
  <w:style w:type="character" w:styleId="SubtleEmphasis">
    <w:name w:val="Subtle Emphasis"/>
    <w:uiPriority w:val="19"/>
    <w:qFormat w:val="1"/>
    <w:rsid w:val="00886354"/>
    <w:rPr>
      <w:i w:val="1"/>
      <w:color w:val="5a5a5a" w:themeColor="text1" w:themeTint="0000A5"/>
    </w:rPr>
  </w:style>
  <w:style w:type="character" w:styleId="IntenseEmphasis">
    <w:name w:val="Intense Emphasis"/>
    <w:basedOn w:val="DefaultParagraphFont"/>
    <w:uiPriority w:val="21"/>
    <w:qFormat w:val="1"/>
    <w:rsid w:val="00886354"/>
    <w:rPr>
      <w:b w:val="1"/>
      <w:i w:val="1"/>
      <w:sz w:val="24"/>
      <w:szCs w:val="24"/>
      <w:u w:val="single"/>
    </w:rPr>
  </w:style>
  <w:style w:type="character" w:styleId="SubtleReference">
    <w:name w:val="Subtle Reference"/>
    <w:basedOn w:val="DefaultParagraphFont"/>
    <w:uiPriority w:val="31"/>
    <w:qFormat w:val="1"/>
    <w:rsid w:val="00886354"/>
    <w:rPr>
      <w:sz w:val="24"/>
      <w:szCs w:val="24"/>
      <w:u w:val="single"/>
    </w:rPr>
  </w:style>
  <w:style w:type="character" w:styleId="IntenseReference">
    <w:name w:val="Intense Reference"/>
    <w:basedOn w:val="DefaultParagraphFont"/>
    <w:uiPriority w:val="32"/>
    <w:qFormat w:val="1"/>
    <w:rsid w:val="00886354"/>
    <w:rPr>
      <w:b w:val="1"/>
      <w:sz w:val="24"/>
      <w:u w:val="single"/>
    </w:rPr>
  </w:style>
  <w:style w:type="character" w:styleId="BookTitle">
    <w:name w:val="Book Title"/>
    <w:basedOn w:val="DefaultParagraphFont"/>
    <w:uiPriority w:val="33"/>
    <w:qFormat w:val="1"/>
    <w:rsid w:val="00886354"/>
    <w:rPr>
      <w:rFonts w:asciiTheme="majorHAnsi" w:eastAsiaTheme="majorEastAsia" w:hAnsiTheme="majorHAnsi"/>
      <w:b w:val="1"/>
      <w:i w:val="1"/>
      <w:sz w:val="24"/>
      <w:szCs w:val="24"/>
    </w:rPr>
  </w:style>
  <w:style w:type="paragraph" w:styleId="TOCHeading">
    <w:name w:val="TOC Heading"/>
    <w:basedOn w:val="Heading1"/>
    <w:next w:val="Normal"/>
    <w:uiPriority w:val="39"/>
    <w:unhideWhenUsed w:val="1"/>
    <w:qFormat w:val="1"/>
    <w:rsid w:val="00886354"/>
    <w:pPr>
      <w:outlineLvl w:val="9"/>
    </w:pPr>
  </w:style>
  <w:style w:type="character" w:styleId="Hyperlink">
    <w:name w:val="Hyperlink"/>
    <w:basedOn w:val="DefaultParagraphFont"/>
    <w:uiPriority w:val="99"/>
    <w:unhideWhenUsed w:val="1"/>
    <w:rsid w:val="00665FD0"/>
    <w:rPr>
      <w:color w:val="56c7aa" w:themeColor="hyperlink"/>
      <w:u w:val="single"/>
    </w:rPr>
  </w:style>
  <w:style w:type="character" w:styleId="UnresolvedMention">
    <w:name w:val="Unresolved Mention"/>
    <w:basedOn w:val="DefaultParagraphFont"/>
    <w:uiPriority w:val="99"/>
    <w:semiHidden w:val="1"/>
    <w:unhideWhenUsed w:val="1"/>
    <w:rsid w:val="00665FD0"/>
    <w:rPr>
      <w:color w:val="605e5c"/>
      <w:shd w:color="auto" w:fill="e1dfdd" w:val="clear"/>
    </w:rPr>
  </w:style>
  <w:style w:type="paragraph" w:styleId="ListParagraph">
    <w:name w:val="List Paragraph"/>
    <w:basedOn w:val="Normal"/>
    <w:uiPriority w:val="34"/>
    <w:qFormat w:val="1"/>
    <w:rsid w:val="00886354"/>
    <w:pPr>
      <w:ind w:left="720"/>
      <w:contextualSpacing w:val="1"/>
    </w:pPr>
  </w:style>
  <w:style w:type="paragraph" w:styleId="EndNoteBibliographyTitle" w:customStyle="1">
    <w:name w:val="EndNote Bibliography Title"/>
    <w:basedOn w:val="Normal"/>
    <w:link w:val="EndNoteBibliographyTitleChar"/>
    <w:rsid w:val="0016769E"/>
    <w:pPr>
      <w:jc w:val="center"/>
    </w:pPr>
    <w:rPr>
      <w:rFonts w:ascii="Arial" w:cs="Arial" w:hAnsi="Arial"/>
      <w:noProof w:val="1"/>
      <w:lang w:val="en-US"/>
    </w:rPr>
  </w:style>
  <w:style w:type="character" w:styleId="EndNoteBibliographyTitleChar" w:customStyle="1">
    <w:name w:val="EndNote Bibliography Title Char"/>
    <w:basedOn w:val="DefaultParagraphFont"/>
    <w:link w:val="EndNoteBibliographyTitle"/>
    <w:rsid w:val="0016769E"/>
    <w:rPr>
      <w:rFonts w:ascii="Arial" w:cs="Arial" w:hAnsi="Arial"/>
      <w:noProof w:val="1"/>
      <w:sz w:val="24"/>
      <w:szCs w:val="24"/>
      <w:lang w:val="en-US"/>
    </w:rPr>
  </w:style>
  <w:style w:type="paragraph" w:styleId="EndNoteBibliography" w:customStyle="1">
    <w:name w:val="EndNote Bibliography"/>
    <w:basedOn w:val="Normal"/>
    <w:link w:val="EndNoteBibliographyChar"/>
    <w:rsid w:val="0016769E"/>
    <w:rPr>
      <w:rFonts w:ascii="Arial" w:cs="Arial" w:hAnsi="Arial"/>
      <w:noProof w:val="1"/>
      <w:lang w:val="en-US"/>
    </w:rPr>
  </w:style>
  <w:style w:type="character" w:styleId="EndNoteBibliographyChar" w:customStyle="1">
    <w:name w:val="EndNote Bibliography Char"/>
    <w:basedOn w:val="DefaultParagraphFont"/>
    <w:link w:val="EndNoteBibliography"/>
    <w:rsid w:val="0016769E"/>
    <w:rPr>
      <w:rFonts w:ascii="Arial" w:cs="Arial" w:hAnsi="Arial"/>
      <w:noProof w:val="1"/>
      <w:sz w:val="24"/>
      <w:szCs w:val="24"/>
      <w:lang w:val="en-US"/>
    </w:rPr>
  </w:style>
  <w:style w:type="table" w:styleId="TableGrid">
    <w:name w:val="Table Grid"/>
    <w:basedOn w:val="TableNormal"/>
    <w:uiPriority w:val="39"/>
    <w:rsid w:val="001008F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4">
    <w:name w:val="Grid Table 4 Accent 4"/>
    <w:basedOn w:val="TableNormal"/>
    <w:uiPriority w:val="49"/>
    <w:rsid w:val="004257A4"/>
    <w:tblPr>
      <w:tblStyleRowBandSize w:val="1"/>
      <w:tblStyleColBandSize w:val="1"/>
      <w:tblBorders>
        <w:top w:color="9de1cf" w:space="0" w:sz="4" w:themeColor="accent4" w:themeTint="000099" w:val="single"/>
        <w:left w:color="9de1cf" w:space="0" w:sz="4" w:themeColor="accent4" w:themeTint="000099" w:val="single"/>
        <w:bottom w:color="9de1cf" w:space="0" w:sz="4" w:themeColor="accent4" w:themeTint="000099" w:val="single"/>
        <w:right w:color="9de1cf" w:space="0" w:sz="4" w:themeColor="accent4" w:themeTint="000099" w:val="single"/>
        <w:insideH w:color="9de1cf" w:space="0" w:sz="4" w:themeColor="accent4" w:themeTint="000099" w:val="single"/>
        <w:insideV w:color="9de1cf" w:space="0" w:sz="4" w:themeColor="accent4" w:themeTint="000099" w:val="single"/>
      </w:tblBorders>
    </w:tblPr>
    <w:tblStylePr w:type="firstRow">
      <w:rPr>
        <w:b w:val="1"/>
        <w:bCs w:val="1"/>
        <w:color w:val="ffffff" w:themeColor="background1"/>
      </w:rPr>
      <w:tblPr/>
      <w:tcPr>
        <w:tcBorders>
          <w:top w:color="5dceaf" w:space="0" w:sz="4" w:themeColor="accent4" w:val="single"/>
          <w:left w:color="5dceaf" w:space="0" w:sz="4" w:themeColor="accent4" w:val="single"/>
          <w:bottom w:color="5dceaf" w:space="0" w:sz="4" w:themeColor="accent4" w:val="single"/>
          <w:right w:color="5dceaf" w:space="0" w:sz="4" w:themeColor="accent4" w:val="single"/>
          <w:insideH w:space="0" w:sz="0" w:val="nil"/>
          <w:insideV w:space="0" w:sz="0" w:val="nil"/>
        </w:tcBorders>
        <w:shd w:color="auto" w:fill="5dceaf" w:themeFill="accent4" w:val="clear"/>
      </w:tcPr>
    </w:tblStylePr>
    <w:tblStylePr w:type="lastRow">
      <w:rPr>
        <w:b w:val="1"/>
        <w:bCs w:val="1"/>
      </w:rPr>
      <w:tblPr/>
      <w:tcPr>
        <w:tcBorders>
          <w:top w:color="5dceaf" w:space="0" w:sz="4" w:themeColor="accent4" w:val="double"/>
        </w:tcBorders>
      </w:tcPr>
    </w:tblStylePr>
    <w:tblStylePr w:type="firstCol">
      <w:rPr>
        <w:b w:val="1"/>
        <w:bCs w:val="1"/>
      </w:rPr>
    </w:tblStylePr>
    <w:tblStylePr w:type="lastCol">
      <w:rPr>
        <w:b w:val="1"/>
        <w:bCs w:val="1"/>
      </w:rPr>
    </w:tblStylePr>
    <w:tblStylePr w:type="band1Vert">
      <w:tblPr/>
      <w:tcPr>
        <w:shd w:color="auto" w:fill="def5ee" w:themeFill="accent4" w:themeFillTint="000033" w:val="clear"/>
      </w:tcPr>
    </w:tblStylePr>
    <w:tblStylePr w:type="band1Horz">
      <w:tblPr/>
      <w:tcPr>
        <w:shd w:color="auto" w:fill="def5ee" w:themeFill="accent4" w:themeFillTint="000033" w:val="clear"/>
      </w:tcPr>
    </w:tblStylePr>
  </w:style>
  <w:style w:type="table" w:styleId="GridTable4-Accent3">
    <w:name w:val="Grid Table 4 Accent 3"/>
    <w:basedOn w:val="TableNormal"/>
    <w:uiPriority w:val="49"/>
    <w:rsid w:val="006D6CC2"/>
    <w:tblPr>
      <w:tblStyleRowBandSize w:val="1"/>
      <w:tblStyleColBandSize w:val="1"/>
      <w:tblBorders>
        <w:top w:color="c9f296" w:space="0" w:sz="4" w:themeColor="accent3" w:themeTint="000099" w:val="single"/>
        <w:left w:color="c9f296" w:space="0" w:sz="4" w:themeColor="accent3" w:themeTint="000099" w:val="single"/>
        <w:bottom w:color="c9f296" w:space="0" w:sz="4" w:themeColor="accent3" w:themeTint="000099" w:val="single"/>
        <w:right w:color="c9f296" w:space="0" w:sz="4" w:themeColor="accent3" w:themeTint="000099" w:val="single"/>
        <w:insideH w:color="c9f296" w:space="0" w:sz="4" w:themeColor="accent3" w:themeTint="000099" w:val="single"/>
        <w:insideV w:color="c9f296" w:space="0" w:sz="4" w:themeColor="accent3" w:themeTint="000099" w:val="single"/>
      </w:tblBorders>
    </w:tblPr>
    <w:tblStylePr w:type="firstRow">
      <w:rPr>
        <w:b w:val="1"/>
        <w:bCs w:val="1"/>
        <w:color w:val="ffffff" w:themeColor="background1"/>
      </w:rPr>
      <w:tblPr/>
      <w:tcPr>
        <w:tcBorders>
          <w:top w:color="a7ea52" w:space="0" w:sz="4" w:themeColor="accent3" w:val="single"/>
          <w:left w:color="a7ea52" w:space="0" w:sz="4" w:themeColor="accent3" w:val="single"/>
          <w:bottom w:color="a7ea52" w:space="0" w:sz="4" w:themeColor="accent3" w:val="single"/>
          <w:right w:color="a7ea52" w:space="0" w:sz="4" w:themeColor="accent3" w:val="single"/>
          <w:insideH w:space="0" w:sz="0" w:val="nil"/>
          <w:insideV w:space="0" w:sz="0" w:val="nil"/>
        </w:tcBorders>
        <w:shd w:color="auto" w:fill="a7ea52" w:themeFill="accent3" w:val="clear"/>
      </w:tcPr>
    </w:tblStylePr>
    <w:tblStylePr w:type="lastRow">
      <w:rPr>
        <w:b w:val="1"/>
        <w:bCs w:val="1"/>
      </w:rPr>
      <w:tblPr/>
      <w:tcPr>
        <w:tcBorders>
          <w:top w:color="a7ea52" w:space="0" w:sz="4" w:themeColor="accent3" w:val="double"/>
        </w:tcBorders>
      </w:tcPr>
    </w:tblStylePr>
    <w:tblStylePr w:type="firstCol">
      <w:rPr>
        <w:b w:val="1"/>
        <w:bCs w:val="1"/>
      </w:rPr>
    </w:tblStylePr>
    <w:tblStylePr w:type="lastCol">
      <w:rPr>
        <w:b w:val="1"/>
        <w:bCs w:val="1"/>
      </w:rPr>
    </w:tblStylePr>
    <w:tblStylePr w:type="band1Vert">
      <w:tblPr/>
      <w:tcPr>
        <w:shd w:color="auto" w:fill="edfadc" w:themeFill="accent3" w:themeFillTint="000033" w:val="clear"/>
      </w:tcPr>
    </w:tblStylePr>
    <w:tblStylePr w:type="band1Horz">
      <w:tblPr/>
      <w:tcPr>
        <w:shd w:color="auto" w:fill="edfadc" w:themeFill="accent3" w:themeFillTint="000033" w:val="clear"/>
      </w:tcPr>
    </w:tblStylePr>
  </w:style>
  <w:style w:type="table" w:styleId="GridTable4-Accent2">
    <w:name w:val="Grid Table 4 Accent 2"/>
    <w:basedOn w:val="TableNormal"/>
    <w:uiPriority w:val="49"/>
    <w:rsid w:val="00894BD2"/>
    <w:tblPr>
      <w:tblStyleRowBandSize w:val="1"/>
      <w:tblStyleColBandSize w:val="1"/>
      <w:tblBorders>
        <w:top w:color="9ee0f7" w:space="0" w:sz="4" w:themeColor="accent2" w:themeTint="000099" w:val="single"/>
        <w:left w:color="9ee0f7" w:space="0" w:sz="4" w:themeColor="accent2" w:themeTint="000099" w:val="single"/>
        <w:bottom w:color="9ee0f7" w:space="0" w:sz="4" w:themeColor="accent2" w:themeTint="000099" w:val="single"/>
        <w:right w:color="9ee0f7" w:space="0" w:sz="4" w:themeColor="accent2" w:themeTint="000099" w:val="single"/>
        <w:insideH w:color="9ee0f7" w:space="0" w:sz="4" w:themeColor="accent2" w:themeTint="000099" w:val="single"/>
        <w:insideV w:color="9ee0f7" w:space="0" w:sz="4" w:themeColor="accent2" w:themeTint="000099" w:val="single"/>
      </w:tblBorders>
    </w:tblPr>
    <w:tblStylePr w:type="firstRow">
      <w:rPr>
        <w:b w:val="1"/>
        <w:bCs w:val="1"/>
        <w:color w:val="ffffff" w:themeColor="background1"/>
      </w:rPr>
      <w:tblPr/>
      <w:tcPr>
        <w:tcBorders>
          <w:top w:color="5eccf3" w:space="0" w:sz="4" w:themeColor="accent2" w:val="single"/>
          <w:left w:color="5eccf3" w:space="0" w:sz="4" w:themeColor="accent2" w:val="single"/>
          <w:bottom w:color="5eccf3" w:space="0" w:sz="4" w:themeColor="accent2" w:val="single"/>
          <w:right w:color="5eccf3" w:space="0" w:sz="4" w:themeColor="accent2" w:val="single"/>
          <w:insideH w:space="0" w:sz="0" w:val="nil"/>
          <w:insideV w:space="0" w:sz="0" w:val="nil"/>
        </w:tcBorders>
        <w:shd w:color="auto" w:fill="5eccf3" w:themeFill="accent2" w:val="clear"/>
      </w:tcPr>
    </w:tblStylePr>
    <w:tblStylePr w:type="lastRow">
      <w:rPr>
        <w:b w:val="1"/>
        <w:bCs w:val="1"/>
      </w:rPr>
      <w:tblPr/>
      <w:tcPr>
        <w:tcBorders>
          <w:top w:color="5eccf3" w:space="0" w:sz="4" w:themeColor="accent2" w:val="double"/>
        </w:tcBorders>
      </w:tcPr>
    </w:tblStylePr>
    <w:tblStylePr w:type="firstCol">
      <w:rPr>
        <w:b w:val="1"/>
        <w:bCs w:val="1"/>
      </w:rPr>
    </w:tblStylePr>
    <w:tblStylePr w:type="lastCol">
      <w:rPr>
        <w:b w:val="1"/>
        <w:bCs w:val="1"/>
      </w:rPr>
    </w:tblStylePr>
    <w:tblStylePr w:type="band1Vert">
      <w:tblPr/>
      <w:tcPr>
        <w:shd w:color="auto" w:fill="def4fc" w:themeFill="accent2" w:themeFillTint="000033" w:val="clear"/>
      </w:tcPr>
    </w:tblStylePr>
    <w:tblStylePr w:type="band1Horz">
      <w:tblPr/>
      <w:tcPr>
        <w:shd w:color="auto" w:fill="def4fc" w:themeFill="accent2" w:themeFillTint="000033" w:val="clear"/>
      </w:tcPr>
    </w:tblStylePr>
  </w:style>
  <w:style w:type="character" w:styleId="NoSpacingChar" w:customStyle="1">
    <w:name w:val="No Spacing Char"/>
    <w:basedOn w:val="DefaultParagraphFont"/>
    <w:link w:val="NoSpacing"/>
    <w:uiPriority w:val="1"/>
    <w:rsid w:val="000F683E"/>
    <w:rPr>
      <w:sz w:val="24"/>
      <w:szCs w:val="32"/>
    </w:rPr>
  </w:style>
  <w:style w:type="character" w:styleId="CommentReference">
    <w:name w:val="annotation reference"/>
    <w:basedOn w:val="DefaultParagraphFont"/>
    <w:uiPriority w:val="99"/>
    <w:semiHidden w:val="1"/>
    <w:unhideWhenUsed w:val="1"/>
    <w:rsid w:val="00A03A88"/>
    <w:rPr>
      <w:sz w:val="16"/>
      <w:szCs w:val="16"/>
    </w:rPr>
  </w:style>
  <w:style w:type="paragraph" w:styleId="CommentText">
    <w:name w:val="annotation text"/>
    <w:basedOn w:val="Normal"/>
    <w:link w:val="CommentTextChar"/>
    <w:uiPriority w:val="99"/>
    <w:unhideWhenUsed w:val="1"/>
    <w:rsid w:val="00A03A88"/>
    <w:rPr>
      <w:sz w:val="20"/>
      <w:szCs w:val="20"/>
    </w:rPr>
  </w:style>
  <w:style w:type="character" w:styleId="CommentTextChar" w:customStyle="1">
    <w:name w:val="Comment Text Char"/>
    <w:basedOn w:val="DefaultParagraphFont"/>
    <w:link w:val="CommentText"/>
    <w:uiPriority w:val="99"/>
    <w:rsid w:val="00A03A88"/>
    <w:rPr>
      <w:sz w:val="20"/>
      <w:szCs w:val="20"/>
    </w:rPr>
  </w:style>
  <w:style w:type="paragraph" w:styleId="CommentSubject">
    <w:name w:val="annotation subject"/>
    <w:basedOn w:val="CommentText"/>
    <w:next w:val="CommentText"/>
    <w:link w:val="CommentSubjectChar"/>
    <w:uiPriority w:val="99"/>
    <w:semiHidden w:val="1"/>
    <w:unhideWhenUsed w:val="1"/>
    <w:rsid w:val="00A03A88"/>
    <w:rPr>
      <w:b w:val="1"/>
      <w:bCs w:val="1"/>
    </w:rPr>
  </w:style>
  <w:style w:type="character" w:styleId="CommentSubjectChar" w:customStyle="1">
    <w:name w:val="Comment Subject Char"/>
    <w:basedOn w:val="CommentTextChar"/>
    <w:link w:val="CommentSubject"/>
    <w:uiPriority w:val="99"/>
    <w:semiHidden w:val="1"/>
    <w:rsid w:val="00A03A88"/>
    <w:rPr>
      <w:b w:val="1"/>
      <w:bCs w:val="1"/>
      <w:sz w:val="20"/>
      <w:szCs w:val="20"/>
    </w:rPr>
  </w:style>
  <w:style w:type="table" w:styleId="GridTable4-Accent1">
    <w:name w:val="Grid Table 4 Accent 1"/>
    <w:basedOn w:val="TableNormal"/>
    <w:uiPriority w:val="49"/>
    <w:rsid w:val="00253218"/>
    <w:tblPr>
      <w:tblStyleRowBandSize w:val="1"/>
      <w:tblStyleColBandSize w:val="1"/>
      <w:tblBorders>
        <w:top w:color="94a3de" w:space="0" w:sz="4" w:themeColor="accent1" w:themeTint="000099" w:val="single"/>
        <w:left w:color="94a3de" w:space="0" w:sz="4" w:themeColor="accent1" w:themeTint="000099" w:val="single"/>
        <w:bottom w:color="94a3de" w:space="0" w:sz="4" w:themeColor="accent1" w:themeTint="000099" w:val="single"/>
        <w:right w:color="94a3de" w:space="0" w:sz="4" w:themeColor="accent1" w:themeTint="000099" w:val="single"/>
        <w:insideH w:color="94a3de" w:space="0" w:sz="4" w:themeColor="accent1" w:themeTint="000099" w:val="single"/>
        <w:insideV w:color="94a3de" w:space="0" w:sz="4" w:themeColor="accent1" w:themeTint="000099" w:val="single"/>
      </w:tblBorders>
    </w:tblPr>
    <w:tblStylePr w:type="firstRow">
      <w:rPr>
        <w:b w:val="1"/>
        <w:bCs w:val="1"/>
        <w:color w:val="ffffff" w:themeColor="background1"/>
      </w:rPr>
      <w:tblPr/>
      <w:tcPr>
        <w:tcBorders>
          <w:top w:color="4e67c8" w:space="0" w:sz="4" w:themeColor="accent1" w:val="single"/>
          <w:left w:color="4e67c8" w:space="0" w:sz="4" w:themeColor="accent1" w:val="single"/>
          <w:bottom w:color="4e67c8" w:space="0" w:sz="4" w:themeColor="accent1" w:val="single"/>
          <w:right w:color="4e67c8" w:space="0" w:sz="4" w:themeColor="accent1" w:val="single"/>
          <w:insideH w:space="0" w:sz="0" w:val="nil"/>
          <w:insideV w:space="0" w:sz="0" w:val="nil"/>
        </w:tcBorders>
        <w:shd w:color="auto" w:fill="4e67c8" w:themeFill="accent1" w:val="clear"/>
      </w:tcPr>
    </w:tblStylePr>
    <w:tblStylePr w:type="lastRow">
      <w:rPr>
        <w:b w:val="1"/>
        <w:bCs w:val="1"/>
      </w:rPr>
      <w:tblPr/>
      <w:tcPr>
        <w:tcBorders>
          <w:top w:color="4e67c8" w:space="0" w:sz="4" w:themeColor="accent1" w:val="double"/>
        </w:tcBorders>
      </w:tcPr>
    </w:tblStylePr>
    <w:tblStylePr w:type="firstCol">
      <w:rPr>
        <w:b w:val="1"/>
        <w:bCs w:val="1"/>
      </w:rPr>
    </w:tblStylePr>
    <w:tblStylePr w:type="lastCol">
      <w:rPr>
        <w:b w:val="1"/>
        <w:bCs w:val="1"/>
      </w:rPr>
    </w:tblStylePr>
    <w:tblStylePr w:type="band1Vert">
      <w:tblPr/>
      <w:tcPr>
        <w:shd w:color="auto" w:fill="dbe0f4" w:themeFill="accent1" w:themeFillTint="000033" w:val="clear"/>
      </w:tcPr>
    </w:tblStylePr>
    <w:tblStylePr w:type="band1Horz">
      <w:tblPr/>
      <w:tcPr>
        <w:shd w:color="auto" w:fill="dbe0f4" w:themeFill="accent1" w:themeFillTint="000033" w:val="clear"/>
      </w:tcPr>
    </w:tblStylePr>
  </w:style>
  <w:style w:type="paragraph" w:styleId="NormalWeb">
    <w:name w:val="Normal (Web)"/>
    <w:basedOn w:val="Normal"/>
    <w:uiPriority w:val="99"/>
    <w:semiHidden w:val="1"/>
    <w:unhideWhenUsed w:val="1"/>
    <w:rsid w:val="00B73E7B"/>
    <w:rPr>
      <w:rFonts w:ascii="Times New Roman" w:hAnsi="Times New Roman"/>
    </w:rPr>
  </w:style>
  <w:style w:type="paragraph" w:styleId="TOC1">
    <w:name w:val="toc 1"/>
    <w:basedOn w:val="Normal"/>
    <w:next w:val="Normal"/>
    <w:autoRedefine w:val="1"/>
    <w:uiPriority w:val="39"/>
    <w:unhideWhenUsed w:val="1"/>
    <w:rsid w:val="0024687E"/>
    <w:pPr>
      <w:spacing w:after="100"/>
    </w:pPr>
  </w:style>
  <w:style w:type="table" w:styleId="GridTable3-Accent4">
    <w:name w:val="Grid Table 3 Accent 4"/>
    <w:basedOn w:val="TableNormal"/>
    <w:uiPriority w:val="48"/>
    <w:rsid w:val="00CF07A6"/>
    <w:tblPr>
      <w:tblStyleRowBandSize w:val="1"/>
      <w:tblStyleColBandSize w:val="1"/>
      <w:tblBorders>
        <w:top w:color="9de1cf" w:space="0" w:sz="4" w:themeColor="accent4" w:themeTint="000099" w:val="single"/>
        <w:left w:color="9de1cf" w:space="0" w:sz="4" w:themeColor="accent4" w:themeTint="000099" w:val="single"/>
        <w:bottom w:color="9de1cf" w:space="0" w:sz="4" w:themeColor="accent4" w:themeTint="000099" w:val="single"/>
        <w:right w:color="9de1cf" w:space="0" w:sz="4" w:themeColor="accent4" w:themeTint="000099" w:val="single"/>
        <w:insideH w:color="9de1cf" w:space="0" w:sz="4" w:themeColor="accent4" w:themeTint="000099" w:val="single"/>
        <w:insideV w:color="9de1cf"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f5ee" w:themeFill="accent4" w:themeFillTint="000033" w:val="clear"/>
      </w:tcPr>
    </w:tblStylePr>
    <w:tblStylePr w:type="band1Horz">
      <w:tblPr/>
      <w:tcPr>
        <w:shd w:color="auto" w:fill="def5ee" w:themeFill="accent4" w:themeFillTint="000033" w:val="clear"/>
      </w:tcPr>
    </w:tblStylePr>
    <w:tblStylePr w:type="neCell">
      <w:tblPr/>
      <w:tcPr>
        <w:tcBorders>
          <w:bottom w:color="9de1cf" w:space="0" w:sz="4" w:themeColor="accent4" w:themeTint="000099" w:val="single"/>
        </w:tcBorders>
      </w:tcPr>
    </w:tblStylePr>
    <w:tblStylePr w:type="nwCell">
      <w:tblPr/>
      <w:tcPr>
        <w:tcBorders>
          <w:bottom w:color="9de1cf" w:space="0" w:sz="4" w:themeColor="accent4" w:themeTint="000099" w:val="single"/>
        </w:tcBorders>
      </w:tcPr>
    </w:tblStylePr>
    <w:tblStylePr w:type="seCell">
      <w:tblPr/>
      <w:tcPr>
        <w:tcBorders>
          <w:top w:color="9de1cf" w:space="0" w:sz="4" w:themeColor="accent4" w:themeTint="000099" w:val="single"/>
        </w:tcBorders>
      </w:tcPr>
    </w:tblStylePr>
    <w:tblStylePr w:type="swCell">
      <w:tblPr/>
      <w:tcPr>
        <w:tcBorders>
          <w:top w:color="9de1cf" w:space="0" w:sz="4" w:themeColor="accent4" w:themeTint="000099" w:val="single"/>
        </w:tcBorders>
      </w:tcPr>
    </w:tblStylePr>
  </w:style>
  <w:style w:type="table" w:styleId="GridTable6ColourfulAccent4">
    <w:name w:val="Grid Table 6 Colorful Accent 4"/>
    <w:basedOn w:val="TableNormal"/>
    <w:uiPriority w:val="51"/>
    <w:rsid w:val="00CF07A6"/>
    <w:rPr>
      <w:color w:val="34ab8a" w:themeColor="accent4" w:themeShade="0000BF"/>
    </w:rPr>
    <w:tblPr>
      <w:tblStyleRowBandSize w:val="1"/>
      <w:tblStyleColBandSize w:val="1"/>
      <w:tblBorders>
        <w:top w:color="9de1cf" w:space="0" w:sz="4" w:themeColor="accent4" w:themeTint="000099" w:val="single"/>
        <w:left w:color="9de1cf" w:space="0" w:sz="4" w:themeColor="accent4" w:themeTint="000099" w:val="single"/>
        <w:bottom w:color="9de1cf" w:space="0" w:sz="4" w:themeColor="accent4" w:themeTint="000099" w:val="single"/>
        <w:right w:color="9de1cf" w:space="0" w:sz="4" w:themeColor="accent4" w:themeTint="000099" w:val="single"/>
        <w:insideH w:color="9de1cf" w:space="0" w:sz="4" w:themeColor="accent4" w:themeTint="000099" w:val="single"/>
        <w:insideV w:color="9de1cf" w:space="0" w:sz="4" w:themeColor="accent4" w:themeTint="000099" w:val="single"/>
      </w:tblBorders>
    </w:tblPr>
    <w:tblStylePr w:type="firstRow">
      <w:rPr>
        <w:b w:val="1"/>
        <w:bCs w:val="1"/>
      </w:rPr>
      <w:tblPr/>
      <w:tcPr>
        <w:tcBorders>
          <w:bottom w:color="9de1cf" w:space="0" w:sz="12" w:themeColor="accent4" w:themeTint="000099" w:val="single"/>
        </w:tcBorders>
      </w:tcPr>
    </w:tblStylePr>
    <w:tblStylePr w:type="lastRow">
      <w:rPr>
        <w:b w:val="1"/>
        <w:bCs w:val="1"/>
      </w:rPr>
      <w:tblPr/>
      <w:tcPr>
        <w:tcBorders>
          <w:top w:color="9de1cf"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def5ee" w:themeFill="accent4" w:themeFillTint="000033" w:val="clear"/>
      </w:tcPr>
    </w:tblStylePr>
    <w:tblStylePr w:type="band1Horz">
      <w:tblPr/>
      <w:tcPr>
        <w:shd w:color="auto" w:fill="def5ee" w:themeFill="accent4" w:themeFillTint="000033" w:val="clear"/>
      </w:tcPr>
    </w:tblStylePr>
  </w:style>
  <w:style w:type="paragraph" w:styleId="Header">
    <w:name w:val="header"/>
    <w:basedOn w:val="Normal"/>
    <w:link w:val="HeaderChar"/>
    <w:uiPriority w:val="99"/>
    <w:unhideWhenUsed w:val="1"/>
    <w:rsid w:val="00FF7979"/>
    <w:pPr>
      <w:tabs>
        <w:tab w:val="center" w:pos="4513"/>
        <w:tab w:val="right" w:pos="9026"/>
      </w:tabs>
    </w:pPr>
  </w:style>
  <w:style w:type="character" w:styleId="HeaderChar" w:customStyle="1">
    <w:name w:val="Header Char"/>
    <w:basedOn w:val="DefaultParagraphFont"/>
    <w:link w:val="Header"/>
    <w:uiPriority w:val="99"/>
    <w:rsid w:val="00FF7979"/>
    <w:rPr>
      <w:sz w:val="24"/>
      <w:szCs w:val="24"/>
    </w:rPr>
  </w:style>
  <w:style w:type="paragraph" w:styleId="Footer">
    <w:name w:val="footer"/>
    <w:basedOn w:val="Normal"/>
    <w:link w:val="FooterChar"/>
    <w:uiPriority w:val="99"/>
    <w:unhideWhenUsed w:val="1"/>
    <w:rsid w:val="00FF7979"/>
    <w:pPr>
      <w:tabs>
        <w:tab w:val="center" w:pos="4513"/>
        <w:tab w:val="right" w:pos="9026"/>
      </w:tabs>
    </w:pPr>
  </w:style>
  <w:style w:type="character" w:styleId="FooterChar" w:customStyle="1">
    <w:name w:val="Footer Char"/>
    <w:basedOn w:val="DefaultParagraphFont"/>
    <w:link w:val="Footer"/>
    <w:uiPriority w:val="99"/>
    <w:rsid w:val="00FF7979"/>
    <w:rPr>
      <w:sz w:val="24"/>
      <w:szCs w:val="24"/>
    </w:rPr>
  </w:style>
  <w:style w:type="paragraph" w:styleId="BalloonText">
    <w:name w:val="Balloon Text"/>
    <w:basedOn w:val="Normal"/>
    <w:link w:val="BalloonTextChar"/>
    <w:uiPriority w:val="99"/>
    <w:semiHidden w:val="1"/>
    <w:unhideWhenUsed w:val="1"/>
    <w:rsid w:val="00092D9A"/>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92D9A"/>
    <w:rPr>
      <w:rFonts w:ascii="Segoe UI" w:cs="Segoe UI" w:hAnsi="Segoe UI"/>
      <w:sz w:val="18"/>
      <w:szCs w:val="18"/>
    </w:rPr>
  </w:style>
  <w:style w:type="paragraph" w:styleId="Revision">
    <w:name w:val="Revision"/>
    <w:hidden w:val="1"/>
    <w:uiPriority w:val="99"/>
    <w:semiHidden w:val="1"/>
    <w:rsid w:val="003D2B35"/>
    <w:rPr>
      <w:sz w:val="24"/>
      <w:szCs w:val="24"/>
    </w:r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color w:val="34ab8b"/>
    </w:rPr>
    <w:tblPr>
      <w:tblStyleRowBandSize w:val="1"/>
      <w:tblStyleColBandSize w:val="1"/>
      <w:tblCellMar>
        <w:top w:w="0.0" w:type="dxa"/>
        <w:left w:w="108.0" w:type="dxa"/>
        <w:bottom w:w="0.0" w:type="dxa"/>
        <w:right w:w="108.0" w:type="dxa"/>
      </w:tblCellMar>
    </w:tblPr>
    <w:tblStylePr w:type="band1Horz">
      <w:tcPr>
        <w:shd w:fill="dbe0f4" w:val="clear"/>
      </w:tcPr>
    </w:tblStylePr>
    <w:tblStylePr w:type="band1Vert">
      <w:tcPr>
        <w:shd w:fill="dbe0f4" w:val="clear"/>
      </w:tcPr>
    </w:tblStylePr>
    <w:tblStylePr w:type="firstCol">
      <w:rPr>
        <w:b w:val="1"/>
      </w:rPr>
    </w:tblStylePr>
    <w:tblStylePr w:type="firstRow">
      <w:rPr>
        <w:b w:val="1"/>
        <w:color w:val="ffffff"/>
      </w:rPr>
      <w:tcPr>
        <w:tcBorders>
          <w:top w:color="4e67c8" w:space="0" w:sz="4" w:val="single"/>
          <w:left w:color="4e67c8" w:space="0" w:sz="4" w:val="single"/>
          <w:bottom w:color="4e67c8" w:space="0" w:sz="4" w:val="single"/>
          <w:right w:color="4e67c8" w:space="0" w:sz="4" w:val="single"/>
          <w:insideH w:color="000000" w:space="0" w:sz="0" w:val="nil"/>
          <w:insideV w:color="000000" w:space="0" w:sz="0" w:val="nil"/>
        </w:tcBorders>
        <w:shd w:fill="4e67c8" w:val="clear"/>
      </w:tcPr>
    </w:tblStylePr>
    <w:tblStylePr w:type="lastCol">
      <w:rPr>
        <w:b w:val="1"/>
      </w:rPr>
    </w:tblStylePr>
    <w:tblStylePr w:type="lastRow">
      <w:rPr>
        <w:b w:val="1"/>
      </w:rPr>
      <w:tcPr>
        <w:tcBorders>
          <w:top w:color="4e67c8" w:space="0" w:sz="4" w:val="single"/>
        </w:tcBorders>
      </w:tcPr>
    </w:tblStylePr>
  </w:style>
  <w:style w:type="table" w:styleId="Table2">
    <w:basedOn w:val="TableNormal"/>
    <w:rPr>
      <w:color w:val="34ab8b"/>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color w:val="34ab8b"/>
    </w:r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rPr>
      <w:color w:val="34ab8b"/>
    </w:rPr>
    <w:tblPr>
      <w:tblStyleRowBandSize w:val="1"/>
      <w:tblStyleColBandSize w:val="1"/>
      <w:tblCellMar>
        <w:top w:w="0.0" w:type="dxa"/>
        <w:left w:w="108.0" w:type="dxa"/>
        <w:bottom w:w="0.0" w:type="dxa"/>
        <w:right w:w="108.0" w:type="dxa"/>
      </w:tblCellMar>
    </w:tblPr>
    <w:tblStylePr w:type="band1Horz">
      <w:tcPr>
        <w:shd w:fill="dbe0f4" w:val="clear"/>
      </w:tcPr>
    </w:tblStylePr>
    <w:tblStylePr w:type="band1Vert">
      <w:tcPr>
        <w:shd w:fill="dbe0f4" w:val="clear"/>
      </w:tcPr>
    </w:tblStylePr>
    <w:tblStylePr w:type="firstCol">
      <w:rPr>
        <w:b w:val="1"/>
      </w:rPr>
    </w:tblStylePr>
    <w:tblStylePr w:type="firstRow">
      <w:rPr>
        <w:b w:val="1"/>
        <w:color w:val="ffffff"/>
      </w:rPr>
      <w:tcPr>
        <w:tcBorders>
          <w:top w:color="4e67c8" w:space="0" w:sz="4" w:val="single"/>
          <w:left w:color="4e67c8" w:space="0" w:sz="4" w:val="single"/>
          <w:bottom w:color="4e67c8" w:space="0" w:sz="4" w:val="single"/>
          <w:right w:color="4e67c8" w:space="0" w:sz="4" w:val="single"/>
          <w:insideH w:color="000000" w:space="0" w:sz="0" w:val="nil"/>
          <w:insideV w:color="000000" w:space="0" w:sz="0" w:val="nil"/>
        </w:tcBorders>
        <w:shd w:fill="4e67c8" w:val="clear"/>
      </w:tcPr>
    </w:tblStylePr>
    <w:tblStylePr w:type="lastCol">
      <w:rPr>
        <w:b w:val="1"/>
      </w:rPr>
    </w:tblStylePr>
    <w:tblStylePr w:type="lastRow">
      <w:rPr>
        <w:b w:val="1"/>
      </w:rPr>
      <w:tcPr>
        <w:tcBorders>
          <w:top w:color="4e67c8" w:space="0" w:sz="4" w:val="single"/>
        </w:tcBorders>
      </w:tcPr>
    </w:tblStylePr>
  </w:style>
  <w:style w:type="table" w:styleId="Table5">
    <w:basedOn w:val="TableNormal"/>
    <w:rPr>
      <w:color w:val="34ab8b"/>
    </w:rPr>
    <w:tblPr>
      <w:tblStyleRowBandSize w:val="1"/>
      <w:tblStyleColBandSize w:val="1"/>
      <w:tblCellMar>
        <w:top w:w="0.0" w:type="dxa"/>
        <w:left w:w="108.0" w:type="dxa"/>
        <w:bottom w:w="0.0" w:type="dxa"/>
        <w:right w:w="108.0" w:type="dxa"/>
      </w:tblCellMar>
    </w:tblPr>
    <w:tblStylePr w:type="band1Horz">
      <w:tcPr>
        <w:shd w:fill="def5ef" w:val="clear"/>
      </w:tcPr>
    </w:tblStylePr>
    <w:tblStylePr w:type="band1Vert">
      <w:tcPr>
        <w:shd w:fill="def5ef" w:val="clear"/>
      </w:tcPr>
    </w:tblStylePr>
    <w:tblStylePr w:type="firstCol">
      <w:rPr>
        <w:b w:val="1"/>
      </w:rPr>
    </w:tblStylePr>
    <w:tblStylePr w:type="firstRow">
      <w:rPr>
        <w:b w:val="1"/>
        <w:color w:val="ffffff"/>
      </w:rPr>
      <w:tcPr>
        <w:tcBorders>
          <w:top w:color="5dceaf" w:space="0" w:sz="4" w:val="single"/>
          <w:left w:color="5dceaf" w:space="0" w:sz="4" w:val="single"/>
          <w:bottom w:color="5dceaf" w:space="0" w:sz="4" w:val="single"/>
          <w:right w:color="5dceaf" w:space="0" w:sz="4" w:val="single"/>
          <w:insideH w:color="000000" w:space="0" w:sz="0" w:val="nil"/>
          <w:insideV w:color="000000" w:space="0" w:sz="0" w:val="nil"/>
        </w:tcBorders>
        <w:shd w:fill="5dceaf" w:val="clear"/>
      </w:tcPr>
    </w:tblStylePr>
    <w:tblStylePr w:type="lastCol">
      <w:rPr>
        <w:b w:val="1"/>
      </w:rPr>
    </w:tblStylePr>
    <w:tblStylePr w:type="lastRow">
      <w:rPr>
        <w:b w:val="1"/>
      </w:rPr>
      <w:tcPr>
        <w:tcBorders>
          <w:top w:color="5dceaf" w:space="0" w:sz="4" w:val="single"/>
        </w:tcBorders>
      </w:tcPr>
    </w:tblStylePr>
  </w:style>
  <w:style w:type="table" w:styleId="Table6">
    <w:basedOn w:val="TableNormal"/>
    <w:rPr>
      <w:color w:val="34ab8b"/>
    </w:rPr>
    <w:tblPr>
      <w:tblStyleRowBandSize w:val="1"/>
      <w:tblStyleColBandSize w:val="1"/>
      <w:tblCellMar>
        <w:top w:w="0.0" w:type="dxa"/>
        <w:left w:w="108.0" w:type="dxa"/>
        <w:bottom w:w="0.0" w:type="dxa"/>
        <w:right w:w="108.0" w:type="dxa"/>
      </w:tblCellMar>
    </w:tblPr>
    <w:tblStylePr w:type="band1Horz">
      <w:tcPr>
        <w:shd w:fill="def5ef" w:val="clear"/>
      </w:tcPr>
    </w:tblStylePr>
    <w:tblStylePr w:type="band1Vert">
      <w:tcPr>
        <w:shd w:fill="def5ef" w:val="clear"/>
      </w:tcPr>
    </w:tblStylePr>
    <w:tblStylePr w:type="firstCol">
      <w:rPr>
        <w:b w:val="1"/>
      </w:rPr>
    </w:tblStylePr>
    <w:tblStylePr w:type="firstRow">
      <w:rPr>
        <w:b w:val="1"/>
        <w:color w:val="ffffff"/>
      </w:rPr>
      <w:tcPr>
        <w:tcBorders>
          <w:top w:color="5dceaf" w:space="0" w:sz="4" w:val="single"/>
          <w:left w:color="5dceaf" w:space="0" w:sz="4" w:val="single"/>
          <w:bottom w:color="5dceaf" w:space="0" w:sz="4" w:val="single"/>
          <w:right w:color="5dceaf" w:space="0" w:sz="4" w:val="single"/>
          <w:insideH w:color="000000" w:space="0" w:sz="0" w:val="nil"/>
          <w:insideV w:color="000000" w:space="0" w:sz="0" w:val="nil"/>
        </w:tcBorders>
        <w:shd w:fill="5dceaf" w:val="clear"/>
      </w:tcPr>
    </w:tblStylePr>
    <w:tblStylePr w:type="lastCol">
      <w:rPr>
        <w:b w:val="1"/>
      </w:rPr>
    </w:tblStylePr>
    <w:tblStylePr w:type="lastRow">
      <w:rPr>
        <w:b w:val="1"/>
      </w:rPr>
      <w:tcPr>
        <w:tcBorders>
          <w:top w:color="5dceaf" w:space="0" w:sz="4" w:val="single"/>
        </w:tcBorders>
      </w:tcPr>
    </w:tblStylePr>
  </w:style>
  <w:style w:type="table" w:styleId="Table7">
    <w:basedOn w:val="TableNormal"/>
    <w:rPr>
      <w:color w:val="34ab8b"/>
    </w:rPr>
    <w:tblPr>
      <w:tblStyleRowBandSize w:val="1"/>
      <w:tblStyleColBandSize w:val="1"/>
      <w:tblCellMar>
        <w:top w:w="0.0" w:type="dxa"/>
        <w:left w:w="108.0" w:type="dxa"/>
        <w:bottom w:w="0.0" w:type="dxa"/>
        <w:right w:w="108.0" w:type="dxa"/>
      </w:tblCellMar>
    </w:tblPr>
    <w:tblStylePr w:type="band1Horz">
      <w:tcPr>
        <w:shd w:fill="def5ef" w:val="clear"/>
      </w:tcPr>
    </w:tblStylePr>
    <w:tblStylePr w:type="band1Vert">
      <w:tcPr>
        <w:shd w:fill="def5ef" w:val="clear"/>
      </w:tcPr>
    </w:tblStylePr>
    <w:tblStylePr w:type="firstCol">
      <w:rPr>
        <w:b w:val="1"/>
      </w:rPr>
    </w:tblStylePr>
    <w:tblStylePr w:type="firstRow">
      <w:rPr>
        <w:b w:val="1"/>
        <w:color w:val="ffffff"/>
      </w:rPr>
      <w:tcPr>
        <w:tcBorders>
          <w:top w:color="5dceaf" w:space="0" w:sz="4" w:val="single"/>
          <w:left w:color="5dceaf" w:space="0" w:sz="4" w:val="single"/>
          <w:bottom w:color="5dceaf" w:space="0" w:sz="4" w:val="single"/>
          <w:right w:color="5dceaf" w:space="0" w:sz="4" w:val="single"/>
          <w:insideH w:color="000000" w:space="0" w:sz="0" w:val="nil"/>
          <w:insideV w:color="000000" w:space="0" w:sz="0" w:val="nil"/>
        </w:tcBorders>
        <w:shd w:fill="5dceaf" w:val="clear"/>
      </w:tcPr>
    </w:tblStylePr>
    <w:tblStylePr w:type="lastCol">
      <w:rPr>
        <w:b w:val="1"/>
      </w:rPr>
    </w:tblStylePr>
    <w:tblStylePr w:type="lastRow">
      <w:rPr>
        <w:b w:val="1"/>
      </w:rPr>
      <w:tcPr>
        <w:tcBorders>
          <w:top w:color="5dceaf" w:space="0" w:sz="4" w:val="single"/>
        </w:tcBorders>
      </w:tcPr>
    </w:tblStylePr>
  </w:style>
  <w:style w:type="table" w:styleId="Table8">
    <w:basedOn w:val="TableNormal"/>
    <w:rPr>
      <w:color w:val="34ab8b"/>
    </w:rPr>
    <w:tblPr>
      <w:tblStyleRowBandSize w:val="1"/>
      <w:tblStyleColBandSize w:val="1"/>
      <w:tblCellMar>
        <w:top w:w="0.0" w:type="dxa"/>
        <w:left w:w="108.0" w:type="dxa"/>
        <w:bottom w:w="0.0" w:type="dxa"/>
        <w:right w:w="108.0" w:type="dxa"/>
      </w:tblCellMar>
    </w:tblPr>
    <w:tblStylePr w:type="band1Horz">
      <w:tcPr>
        <w:shd w:fill="def5ef" w:val="clear"/>
      </w:tcPr>
    </w:tblStylePr>
    <w:tblStylePr w:type="band1Vert">
      <w:tcPr>
        <w:shd w:fill="def5ef" w:val="clear"/>
      </w:tcPr>
    </w:tblStylePr>
    <w:tblStylePr w:type="firstCol">
      <w:rPr>
        <w:b w:val="1"/>
      </w:rPr>
    </w:tblStylePr>
    <w:tblStylePr w:type="firstRow">
      <w:rPr>
        <w:b w:val="1"/>
        <w:color w:val="ffffff"/>
      </w:rPr>
      <w:tcPr>
        <w:tcBorders>
          <w:top w:color="5dceaf" w:space="0" w:sz="4" w:val="single"/>
          <w:left w:color="5dceaf" w:space="0" w:sz="4" w:val="single"/>
          <w:bottom w:color="5dceaf" w:space="0" w:sz="4" w:val="single"/>
          <w:right w:color="5dceaf" w:space="0" w:sz="4" w:val="single"/>
          <w:insideH w:color="000000" w:space="0" w:sz="0" w:val="nil"/>
          <w:insideV w:color="000000" w:space="0" w:sz="0" w:val="nil"/>
        </w:tcBorders>
        <w:shd w:fill="5dceaf" w:val="clear"/>
      </w:tcPr>
    </w:tblStylePr>
    <w:tblStylePr w:type="lastCol">
      <w:rPr>
        <w:b w:val="1"/>
      </w:rPr>
    </w:tblStylePr>
    <w:tblStylePr w:type="lastRow">
      <w:rPr>
        <w:b w:val="1"/>
      </w:rPr>
      <w:tcPr>
        <w:tcBorders>
          <w:top w:color="5dcea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JtvwLXQPsxhVotgbKFEFcf5Nw==">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2021-06-07T04:27:00Z</dcterms:created>
  <dc:creator>Jessica Coventry</dc:creator>
</cp:coreProperties>
</file>