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0C9B" w14:textId="3CAED51F" w:rsidR="00A862BF" w:rsidRDefault="00D03DD5" w:rsidP="00B02AD7">
      <w:pPr>
        <w:pStyle w:val="Heading1"/>
        <w:spacing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02AD7">
        <w:rPr>
          <w:rFonts w:asciiTheme="minorHAnsi" w:hAnsiTheme="minorHAnsi" w:cstheme="minorHAnsi"/>
          <w:b/>
          <w:bCs/>
          <w:color w:val="00B050"/>
        </w:rPr>
        <w:t xml:space="preserve">'Call for help' list for Australian </w:t>
      </w:r>
      <w:r w:rsidR="001B5CA1">
        <w:rPr>
          <w:rFonts w:asciiTheme="minorHAnsi" w:hAnsiTheme="minorHAnsi" w:cstheme="minorHAnsi"/>
          <w:b/>
          <w:bCs/>
          <w:color w:val="00B050"/>
        </w:rPr>
        <w:t>g</w:t>
      </w:r>
      <w:r w:rsidRPr="00B02AD7">
        <w:rPr>
          <w:rFonts w:asciiTheme="minorHAnsi" w:hAnsiTheme="minorHAnsi" w:cstheme="minorHAnsi"/>
          <w:b/>
          <w:bCs/>
          <w:color w:val="00B050"/>
        </w:rPr>
        <w:t>eneral practice registrars</w:t>
      </w:r>
      <w:r w:rsidRPr="00B02AD7">
        <w:rPr>
          <w:rFonts w:asciiTheme="minorHAnsi" w:hAnsiTheme="minorHAnsi" w:cstheme="minorHAnsi"/>
          <w:b/>
          <w:bCs/>
        </w:rPr>
        <w:tab/>
      </w:r>
    </w:p>
    <w:p w14:paraId="3E1F8700" w14:textId="7A01E08B" w:rsidR="002B2118" w:rsidRPr="00B02AD7" w:rsidRDefault="00BF021B" w:rsidP="001B5CA1">
      <w:pPr>
        <w:spacing w:line="276" w:lineRule="auto"/>
      </w:pPr>
      <w:r w:rsidRPr="00B02AD7">
        <w:t xml:space="preserve">Australian </w:t>
      </w:r>
      <w:r w:rsidR="002C0184" w:rsidRPr="00B02AD7">
        <w:t xml:space="preserve">general practice registrars </w:t>
      </w:r>
      <w:r w:rsidRPr="00B02AD7">
        <w:t xml:space="preserve">are expected to </w:t>
      </w:r>
      <w:r w:rsidR="002C0184" w:rsidRPr="00B02AD7">
        <w:t>only manage patients they are competent to manage.</w:t>
      </w:r>
      <w:r w:rsidR="00CA483D" w:rsidRPr="00B02AD7">
        <w:t xml:space="preserve"> </w:t>
      </w:r>
      <w:r w:rsidRPr="00B02AD7">
        <w:t>This list</w:t>
      </w:r>
      <w:r w:rsidR="002B2118" w:rsidRPr="00B02AD7">
        <w:t xml:space="preserve"> </w:t>
      </w:r>
      <w:r w:rsidR="002C0184" w:rsidRPr="00B02AD7">
        <w:t xml:space="preserve">sets out </w:t>
      </w:r>
      <w:r w:rsidR="002A3FF1" w:rsidRPr="00B02AD7">
        <w:t xml:space="preserve">situations where </w:t>
      </w:r>
      <w:r w:rsidR="002C0184" w:rsidRPr="00B02AD7">
        <w:t>a registrar should call their supervisor</w:t>
      </w:r>
      <w:r w:rsidRPr="00B02AD7">
        <w:t xml:space="preserve"> for help</w:t>
      </w:r>
      <w:r w:rsidR="002A3FF1" w:rsidRPr="00B02AD7">
        <w:t>. These include clinical situations, new or challenging consultations, professional and legal consultations, and situations that indicate registrar uncertainty.</w:t>
      </w:r>
    </w:p>
    <w:p w14:paraId="781170AB" w14:textId="2F3B63DB" w:rsidR="00491EBC" w:rsidRPr="00B02AD7" w:rsidRDefault="002C0184" w:rsidP="001B5CA1">
      <w:pPr>
        <w:spacing w:line="276" w:lineRule="auto"/>
      </w:pPr>
      <w:r w:rsidRPr="00B02AD7">
        <w:t xml:space="preserve">This list should be </w:t>
      </w:r>
      <w:r w:rsidR="00CA483D" w:rsidRPr="00B02AD7">
        <w:t>reviewed</w:t>
      </w:r>
      <w:r w:rsidRPr="00B02AD7">
        <w:t xml:space="preserve"> early in </w:t>
      </w:r>
      <w:r w:rsidR="00BF021B" w:rsidRPr="00B02AD7">
        <w:t>each training</w:t>
      </w:r>
      <w:r w:rsidR="00CA483D" w:rsidRPr="00B02AD7">
        <w:t xml:space="preserve"> </w:t>
      </w:r>
      <w:r w:rsidRPr="00B02AD7">
        <w:t>term</w:t>
      </w:r>
      <w:r w:rsidR="00CA483D" w:rsidRPr="00B02AD7">
        <w:t xml:space="preserve">, potentially allowing removal of </w:t>
      </w:r>
      <w:r w:rsidR="002A3FF1" w:rsidRPr="00B02AD7">
        <w:t>items from the list</w:t>
      </w:r>
      <w:r w:rsidR="009B6080" w:rsidRPr="00B02AD7">
        <w:t xml:space="preserve">. </w:t>
      </w:r>
      <w:r w:rsidR="00BF021B" w:rsidRPr="00B02AD7">
        <w:t>This should</w:t>
      </w:r>
      <w:r w:rsidR="009B6080" w:rsidRPr="00B02AD7">
        <w:t xml:space="preserve"> be done cautiously, as hospital </w:t>
      </w:r>
      <w:r w:rsidR="00BF021B" w:rsidRPr="00B02AD7">
        <w:t xml:space="preserve">or prior </w:t>
      </w:r>
      <w:r w:rsidR="009B6080" w:rsidRPr="00B02AD7">
        <w:t>clinical experience in a specific area may not translate to competence in a general practice environment.</w:t>
      </w:r>
      <w:r w:rsidR="002B2118" w:rsidRPr="00B02AD7">
        <w:t xml:space="preserve"> </w:t>
      </w:r>
      <w:r w:rsidR="00CA483D" w:rsidRPr="00B02AD7">
        <w:t>Where a practice has a special interest</w:t>
      </w:r>
      <w:r w:rsidR="002B2118" w:rsidRPr="00B02AD7">
        <w:t xml:space="preserve"> </w:t>
      </w:r>
      <w:r w:rsidR="00CA483D" w:rsidRPr="00B02AD7">
        <w:t xml:space="preserve">or serves a particular patient </w:t>
      </w:r>
      <w:r w:rsidR="001B5CA1">
        <w:t>demographic</w:t>
      </w:r>
      <w:r w:rsidR="00CA483D" w:rsidRPr="00B02AD7">
        <w:t>,</w:t>
      </w:r>
      <w:r w:rsidR="002B2118" w:rsidRPr="00B02AD7">
        <w:t xml:space="preserve"> </w:t>
      </w:r>
      <w:r w:rsidR="00CA483D" w:rsidRPr="00B02AD7">
        <w:t>items may need to be added to the list.</w:t>
      </w:r>
    </w:p>
    <w:p w14:paraId="2C706C77" w14:textId="4027FA79" w:rsidR="00491EBC" w:rsidRPr="00B02AD7" w:rsidRDefault="00CA483D" w:rsidP="001B5CA1">
      <w:pPr>
        <w:spacing w:line="276" w:lineRule="auto"/>
      </w:pPr>
      <w:r w:rsidRPr="00B02AD7">
        <w:t>The registrar should call their supervisor</w:t>
      </w:r>
      <w:r w:rsidR="002B2118" w:rsidRPr="00B02AD7">
        <w:t xml:space="preserve"> </w:t>
      </w:r>
      <w:r w:rsidRPr="00B02AD7">
        <w:t>for item</w:t>
      </w:r>
      <w:r w:rsidR="002A3FF1" w:rsidRPr="00B02AD7">
        <w:t>s</w:t>
      </w:r>
      <w:r w:rsidRPr="00B02AD7">
        <w:t xml:space="preserve"> on the list until the</w:t>
      </w:r>
      <w:r w:rsidR="002B2118" w:rsidRPr="00B02AD7">
        <w:t xml:space="preserve"> </w:t>
      </w:r>
      <w:r w:rsidRPr="00B02AD7">
        <w:t>supervisor determines that this is no longer</w:t>
      </w:r>
      <w:r w:rsidR="002B2118" w:rsidRPr="00B02AD7">
        <w:t xml:space="preserve"> </w:t>
      </w:r>
      <w:r w:rsidRPr="00B02AD7">
        <w:t xml:space="preserve">necessary. This </w:t>
      </w:r>
      <w:r w:rsidR="002B2118" w:rsidRPr="00B02AD7">
        <w:t>will</w:t>
      </w:r>
      <w:r w:rsidRPr="00B02AD7">
        <w:t xml:space="preserve"> be either through</w:t>
      </w:r>
      <w:r w:rsidR="002B2118" w:rsidRPr="00B02AD7">
        <w:t xml:space="preserve"> </w:t>
      </w:r>
      <w:r w:rsidRPr="00B02AD7">
        <w:t>supervision of registrar clinical work, or</w:t>
      </w:r>
      <w:r w:rsidR="002B2118" w:rsidRPr="00B02AD7">
        <w:t xml:space="preserve"> </w:t>
      </w:r>
      <w:r w:rsidRPr="00B02AD7">
        <w:t>by the issue being satisfactorily covered</w:t>
      </w:r>
      <w:r w:rsidR="002B2118" w:rsidRPr="00B02AD7">
        <w:t xml:space="preserve"> </w:t>
      </w:r>
      <w:r w:rsidRPr="00B02AD7">
        <w:t xml:space="preserve">during an in-practice teaching session. </w:t>
      </w:r>
      <w:r w:rsidR="00DA4849" w:rsidRPr="00B02AD7">
        <w:t>It</w:t>
      </w:r>
      <w:r w:rsidRPr="00B02AD7">
        <w:t xml:space="preserve"> is</w:t>
      </w:r>
      <w:r w:rsidR="002B2118" w:rsidRPr="00B02AD7">
        <w:t xml:space="preserve"> </w:t>
      </w:r>
      <w:r w:rsidRPr="00B02AD7">
        <w:t>likely that many items will remain on the</w:t>
      </w:r>
      <w:r w:rsidR="002B2118" w:rsidRPr="00B02AD7">
        <w:t xml:space="preserve"> </w:t>
      </w:r>
      <w:r w:rsidRPr="00B02AD7">
        <w:t>list</w:t>
      </w:r>
      <w:r w:rsidR="002B2118" w:rsidRPr="00B02AD7">
        <w:t xml:space="preserve"> </w:t>
      </w:r>
      <w:r w:rsidRPr="00B02AD7">
        <w:t>throughout the term, particularly the</w:t>
      </w:r>
      <w:r w:rsidR="002B2118" w:rsidRPr="00B02AD7">
        <w:t xml:space="preserve"> </w:t>
      </w:r>
      <w:r w:rsidRPr="00B02AD7">
        <w:t>uncertainty flags and those that relate to</w:t>
      </w:r>
      <w:r w:rsidR="002B2118" w:rsidRPr="00B02AD7">
        <w:t xml:space="preserve"> </w:t>
      </w:r>
      <w:r w:rsidRPr="00B02AD7">
        <w:t>situations that are high risk for all doctors.</w:t>
      </w:r>
      <w:r w:rsidR="00BF021B" w:rsidRPr="00B02AD7">
        <w:t xml:space="preserve"> </w:t>
      </w:r>
    </w:p>
    <w:tbl>
      <w:tblPr>
        <w:tblStyle w:val="GridTable1Lig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91EBC" w:rsidRPr="00D03DD5" w14:paraId="3CCD2012" w14:textId="77777777" w:rsidTr="00B02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bottom w:val="none" w:sz="0" w:space="0" w:color="auto"/>
            </w:tcBorders>
            <w:noWrap/>
            <w:hideMark/>
          </w:tcPr>
          <w:p w14:paraId="41A5AA30" w14:textId="2E308715" w:rsidR="00491EBC" w:rsidRPr="00397F9D" w:rsidRDefault="001B5CA1" w:rsidP="007244CC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bookmarkStart w:id="1" w:name="_Hlk41544625"/>
            <w:r w:rsidRPr="00397F9D">
              <w:rPr>
                <w:rFonts w:cstheme="minorHAnsi"/>
                <w:color w:val="00B050"/>
                <w:sz w:val="28"/>
                <w:szCs w:val="28"/>
              </w:rPr>
              <w:t>Uncertainty flags</w:t>
            </w:r>
          </w:p>
        </w:tc>
      </w:tr>
      <w:tr w:rsidR="00491EBC" w:rsidRPr="00D03DD5" w14:paraId="5771C140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245424BD" w14:textId="77777777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Considering sending patient to ED</w:t>
            </w:r>
          </w:p>
        </w:tc>
      </w:tr>
      <w:tr w:rsidR="00491EBC" w:rsidRPr="00D03DD5" w14:paraId="65EEDF49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420F9E59" w14:textId="77777777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A patient you are unsure about sending home</w:t>
            </w:r>
          </w:p>
        </w:tc>
      </w:tr>
      <w:tr w:rsidR="00491EBC" w:rsidRPr="00D03DD5" w14:paraId="52CB3187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17F8EEC8" w14:textId="56232703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Third presentation for the same issue without a clear diagnosis or plan</w:t>
            </w:r>
          </w:p>
        </w:tc>
      </w:tr>
      <w:tr w:rsidR="00491EBC" w:rsidRPr="00D03DD5" w14:paraId="0409FB3D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497DF177" w14:textId="77777777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If you think you have made an error</w:t>
            </w:r>
          </w:p>
        </w:tc>
      </w:tr>
      <w:tr w:rsidR="00491EBC" w:rsidRPr="00D03DD5" w14:paraId="31ED3E50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0DF8109B" w14:textId="64ADC6B8" w:rsidR="00491EBC" w:rsidRPr="00491EBC" w:rsidRDefault="00491EBC" w:rsidP="00491EB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If you think there is going to be a complaint (disgruntled or dissatisfied patient or relative)</w:t>
            </w:r>
          </w:p>
        </w:tc>
      </w:tr>
      <w:tr w:rsidR="00491EBC" w:rsidRPr="00D03DD5" w14:paraId="5BBFF08A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6BD8E215" w14:textId="77777777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When you are unsure who to refer to</w:t>
            </w:r>
          </w:p>
        </w:tc>
      </w:tr>
      <w:tr w:rsidR="00491EBC" w:rsidRPr="00D03DD5" w14:paraId="2ADF0224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6D7BBFC3" w14:textId="37667BE9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Pathology or imaging results abnormal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beyond your knowledge</w:t>
            </w:r>
          </w:p>
        </w:tc>
      </w:tr>
      <w:tr w:rsidR="00491EBC" w:rsidRPr="00D03DD5" w14:paraId="3839E5BF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6900C2DA" w14:textId="77777777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Prescribing medications you are unfamiliar with</w:t>
            </w:r>
          </w:p>
        </w:tc>
      </w:tr>
      <w:tr w:rsidR="00491EBC" w:rsidRPr="00D03DD5" w14:paraId="5857891E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202F9E77" w14:textId="7E41A690" w:rsidR="00491EBC" w:rsidRPr="00491EBC" w:rsidRDefault="00491EBC" w:rsidP="007244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‘</w:t>
            </w:r>
            <w:proofErr w:type="spellStart"/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Heartsink</w:t>
            </w:r>
            <w:proofErr w:type="spellEnd"/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’ patients (those you find overwhelming)</w:t>
            </w:r>
          </w:p>
        </w:tc>
      </w:tr>
      <w:tr w:rsidR="00491EBC" w:rsidRPr="00D03DD5" w14:paraId="1AA87C5C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  <w:hideMark/>
          </w:tcPr>
          <w:p w14:paraId="31341C64" w14:textId="2C1BA3D5" w:rsidR="0097751B" w:rsidRPr="00491EBC" w:rsidRDefault="00491EBC" w:rsidP="009775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When a patient asks you for a ‘second opinion’</w:t>
            </w:r>
          </w:p>
        </w:tc>
      </w:tr>
      <w:tr w:rsidR="0097751B" w:rsidRPr="00D03DD5" w14:paraId="3BA45C96" w14:textId="77777777" w:rsidTr="00B02A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4402D4A3" w14:textId="77777777" w:rsidR="0097751B" w:rsidRPr="00491EBC" w:rsidRDefault="0097751B" w:rsidP="009775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51B" w:rsidRPr="003605A2" w14:paraId="20D9FC76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6576FD22" w14:textId="1EA4C541" w:rsidR="0097751B" w:rsidRPr="00397F9D" w:rsidRDefault="001B5CA1" w:rsidP="00F43F3F">
            <w:pPr>
              <w:rPr>
                <w:rFonts w:cstheme="minorHAnsi"/>
                <w:sz w:val="28"/>
                <w:szCs w:val="28"/>
              </w:rPr>
            </w:pPr>
            <w:r w:rsidRPr="00397F9D">
              <w:rPr>
                <w:rFonts w:cstheme="minorHAnsi"/>
                <w:color w:val="00B050"/>
                <w:sz w:val="28"/>
                <w:szCs w:val="28"/>
              </w:rPr>
              <w:t>New or challenging consultations</w:t>
            </w:r>
          </w:p>
        </w:tc>
      </w:tr>
      <w:tr w:rsidR="0097751B" w:rsidRPr="00491EBC" w14:paraId="38637ACD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65B6FF0D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Nursing home visits</w:t>
            </w:r>
          </w:p>
        </w:tc>
      </w:tr>
      <w:tr w:rsidR="0097751B" w:rsidRPr="00491EBC" w14:paraId="2EF6808A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5B6AE596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Home visits</w:t>
            </w:r>
          </w:p>
        </w:tc>
      </w:tr>
      <w:tr w:rsidR="0097751B" w:rsidRPr="00491EBC" w14:paraId="47A3849C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41ADE7D4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Aboriginal and/or Torres Strait Islander patient</w:t>
            </w:r>
          </w:p>
        </w:tc>
      </w:tr>
      <w:tr w:rsidR="0097751B" w:rsidRPr="00491EBC" w14:paraId="4C26847A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67233148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Procedures being done for the first time in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the clinic (excisions, implants, joint injections)</w:t>
            </w:r>
          </w:p>
        </w:tc>
      </w:tr>
      <w:tr w:rsidR="0097751B" w:rsidRPr="00491EBC" w14:paraId="4A3413A9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7CB516AE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Making a new major diagnosis (cancer, diabetes, IHD) and starting management</w:t>
            </w:r>
          </w:p>
        </w:tc>
      </w:tr>
      <w:tr w:rsidR="0097751B" w:rsidRPr="00491EBC" w14:paraId="05EAC3B2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4AE31D60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Breaking bad news to patient (cancer, HIV, adverse pregnancy outcome)</w:t>
            </w:r>
          </w:p>
        </w:tc>
      </w:tr>
      <w:tr w:rsidR="0097751B" w:rsidRPr="00491EBC" w14:paraId="443DB982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3D67E039" w14:textId="5511D182" w:rsidR="0097751B" w:rsidRDefault="0097751B" w:rsidP="00F43F3F">
            <w:pPr>
              <w:rPr>
                <w:rFonts w:cstheme="minorHAnsi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Pre-operative assessment of fitness for anaesthetic</w:t>
            </w:r>
          </w:p>
          <w:p w14:paraId="279F4A29" w14:textId="24ECC9E2" w:rsidR="0097751B" w:rsidRDefault="0097751B" w:rsidP="00F43F3F">
            <w:pPr>
              <w:rPr>
                <w:rFonts w:cstheme="minorHAnsi"/>
                <w:sz w:val="24"/>
                <w:szCs w:val="24"/>
              </w:rPr>
            </w:pPr>
          </w:p>
          <w:p w14:paraId="2B09A56A" w14:textId="77777777" w:rsidR="0097751B" w:rsidRDefault="0097751B" w:rsidP="00F43F3F">
            <w:pPr>
              <w:rPr>
                <w:rFonts w:cstheme="minorHAnsi"/>
                <w:sz w:val="24"/>
                <w:szCs w:val="24"/>
              </w:rPr>
            </w:pPr>
          </w:p>
          <w:p w14:paraId="1A6232A6" w14:textId="13F51D0B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97751B" w:rsidRPr="00491EBC" w14:paraId="6350F252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070B9B49" w14:textId="77777777" w:rsidR="0097751B" w:rsidRPr="00491EBC" w:rsidRDefault="0097751B" w:rsidP="00F43F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51B" w:rsidRPr="000671C9" w14:paraId="71F5A322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0F029AB4" w14:textId="783CED78" w:rsidR="0097751B" w:rsidRPr="00397F9D" w:rsidRDefault="001B5CA1" w:rsidP="00F43F3F">
            <w:pPr>
              <w:rPr>
                <w:rFonts w:cstheme="minorHAnsi"/>
                <w:sz w:val="28"/>
                <w:szCs w:val="28"/>
              </w:rPr>
            </w:pPr>
            <w:r w:rsidRPr="00397F9D">
              <w:rPr>
                <w:rFonts w:cstheme="minorHAnsi"/>
                <w:color w:val="00B050"/>
                <w:sz w:val="28"/>
                <w:szCs w:val="28"/>
              </w:rPr>
              <w:t>Professional or legal</w:t>
            </w:r>
          </w:p>
        </w:tc>
      </w:tr>
      <w:tr w:rsidR="0097751B" w:rsidRPr="00491EBC" w14:paraId="1147C306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778054F2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Certifying competency to sign a will or other legal documents</w:t>
            </w:r>
          </w:p>
        </w:tc>
      </w:tr>
      <w:tr w:rsidR="0097751B" w:rsidRPr="00491EBC" w14:paraId="7F9F91BB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09118171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Workers' compensation consultations</w:t>
            </w:r>
          </w:p>
        </w:tc>
      </w:tr>
      <w:tr w:rsidR="0097751B" w:rsidRPr="00491EBC" w14:paraId="40C5DC60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27A6B04A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Driving assessment</w:t>
            </w:r>
          </w:p>
        </w:tc>
      </w:tr>
      <w:tr w:rsidR="0097751B" w:rsidRPr="00491EBC" w14:paraId="132D9579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01A43262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Consultations involving determining whether </w:t>
            </w:r>
          </w:p>
        </w:tc>
      </w:tr>
      <w:tr w:rsidR="0097751B" w:rsidRPr="00491EBC" w14:paraId="6A7A74D5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56CBFB74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someone is a 'mature minor'</w:t>
            </w:r>
          </w:p>
        </w:tc>
      </w:tr>
      <w:tr w:rsidR="0097751B" w:rsidRPr="00491EBC" w14:paraId="2E5FAF82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76E0EFE2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Commencing a drug of dependence (S8) </w:t>
            </w:r>
          </w:p>
        </w:tc>
      </w:tr>
      <w:tr w:rsidR="0097751B" w:rsidRPr="00491EBC" w14:paraId="5D784B9C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27DCD230" w14:textId="77777777" w:rsidR="0097751B" w:rsidRPr="00491EBC" w:rsidRDefault="0097751B" w:rsidP="00F43F3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other than for palliative care</w:t>
            </w:r>
          </w:p>
        </w:tc>
      </w:tr>
      <w:tr w:rsidR="0097751B" w:rsidRPr="00491EBC" w14:paraId="01C290BA" w14:textId="77777777" w:rsidTr="00B02AD7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noWrap/>
          </w:tcPr>
          <w:p w14:paraId="6AF98725" w14:textId="77777777" w:rsidR="0097751B" w:rsidRPr="00491EBC" w:rsidRDefault="0097751B" w:rsidP="00B02AD7">
            <w:pPr>
              <w:spacing w:line="36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91EBC">
              <w:rPr>
                <w:rFonts w:cstheme="minorHAnsi"/>
                <w:b w:val="0"/>
                <w:bCs w:val="0"/>
                <w:sz w:val="24"/>
                <w:szCs w:val="24"/>
              </w:rPr>
              <w:t>Repeat drug of dependence (S8) prescriptions</w:t>
            </w:r>
          </w:p>
        </w:tc>
      </w:tr>
      <w:bookmarkEnd w:id="1"/>
    </w:tbl>
    <w:p w14:paraId="45DDE3C9" w14:textId="77777777" w:rsidR="00B02AD7" w:rsidRDefault="00B02AD7" w:rsidP="00A60BD7">
      <w:pPr>
        <w:spacing w:after="0" w:line="240" w:lineRule="auto"/>
        <w:rPr>
          <w:sz w:val="15"/>
          <w:szCs w:val="15"/>
        </w:rPr>
      </w:pPr>
    </w:p>
    <w:p w14:paraId="74A58F8B" w14:textId="63F8F5D8" w:rsidR="00503FD7" w:rsidRDefault="00D03DD5" w:rsidP="00A60BD7">
      <w:pPr>
        <w:spacing w:after="0" w:line="240" w:lineRule="auto"/>
        <w:rPr>
          <w:sz w:val="16"/>
          <w:szCs w:val="16"/>
        </w:rPr>
      </w:pPr>
      <w:r w:rsidRPr="00A60BD7">
        <w:rPr>
          <w:sz w:val="16"/>
          <w:szCs w:val="16"/>
        </w:rPr>
        <w:tab/>
      </w:r>
    </w:p>
    <w:p w14:paraId="7AA2B091" w14:textId="77777777" w:rsidR="00503FD7" w:rsidRDefault="00503FD7" w:rsidP="00A60BD7">
      <w:pPr>
        <w:spacing w:after="0" w:line="240" w:lineRule="auto"/>
        <w:rPr>
          <w:sz w:val="16"/>
          <w:szCs w:val="16"/>
        </w:rPr>
      </w:pPr>
    </w:p>
    <w:p w14:paraId="515F8ABA" w14:textId="26B0B33B" w:rsidR="00503FD7" w:rsidRDefault="00503FD7" w:rsidP="00A60BD7">
      <w:pPr>
        <w:spacing w:after="0" w:line="240" w:lineRule="auto"/>
        <w:rPr>
          <w:sz w:val="16"/>
          <w:szCs w:val="16"/>
        </w:rPr>
      </w:pPr>
    </w:p>
    <w:p w14:paraId="63D8A6AA" w14:textId="3C03E551" w:rsidR="00491EBC" w:rsidRDefault="00491EBC" w:rsidP="00A60BD7">
      <w:pPr>
        <w:spacing w:after="0" w:line="240" w:lineRule="auto"/>
        <w:rPr>
          <w:sz w:val="16"/>
          <w:szCs w:val="16"/>
        </w:rPr>
      </w:pPr>
    </w:p>
    <w:p w14:paraId="50178A39" w14:textId="77777777" w:rsidR="00B02AD7" w:rsidRDefault="00B02AD7" w:rsidP="00CB040F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14:paraId="05DD86FC" w14:textId="45DC5814" w:rsidR="00B02AD7" w:rsidRDefault="001B5CA1" w:rsidP="00CB040F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B02AD7">
        <w:rPr>
          <w:b/>
          <w:bCs/>
          <w:color w:val="00B050"/>
          <w:sz w:val="28"/>
          <w:szCs w:val="28"/>
        </w:rPr>
        <w:t>Clinical problems</w:t>
      </w:r>
    </w:p>
    <w:p w14:paraId="457A5056" w14:textId="77777777" w:rsidR="00B02AD7" w:rsidRPr="00B02AD7" w:rsidRDefault="00B02AD7" w:rsidP="00CB040F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14:paraId="6A678959" w14:textId="77777777" w:rsidR="00CB040F" w:rsidRDefault="00CB040F" w:rsidP="00CB040F">
      <w:pPr>
        <w:spacing w:after="0" w:line="240" w:lineRule="auto"/>
        <w:jc w:val="center"/>
        <w:rPr>
          <w:sz w:val="16"/>
          <w:szCs w:val="16"/>
        </w:rPr>
      </w:pPr>
    </w:p>
    <w:p w14:paraId="482ABFD4" w14:textId="545C000B" w:rsidR="00503FD7" w:rsidRPr="00A60BD7" w:rsidRDefault="00503FD7" w:rsidP="00A60BD7">
      <w:pPr>
        <w:spacing w:after="0" w:line="240" w:lineRule="auto"/>
        <w:rPr>
          <w:sz w:val="15"/>
          <w:szCs w:val="15"/>
        </w:rPr>
      </w:pPr>
    </w:p>
    <w:tbl>
      <w:tblPr>
        <w:tblStyle w:val="GridTable1Light-Accent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472"/>
      </w:tblGrid>
      <w:tr w:rsidR="00DD71CC" w:rsidRPr="0097751B" w14:paraId="3BA48908" w14:textId="2EDFBD04" w:rsidTr="001B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  <w:noWrap/>
          </w:tcPr>
          <w:p w14:paraId="1B6FB831" w14:textId="1CCEFC49" w:rsidR="00DD71CC" w:rsidRPr="00CB040F" w:rsidRDefault="00DD71CC" w:rsidP="00DD71CC">
            <w:pPr>
              <w:rPr>
                <w:rFonts w:cstheme="minorHAnsi"/>
                <w:sz w:val="24"/>
                <w:szCs w:val="24"/>
              </w:rPr>
            </w:pPr>
            <w:r w:rsidRPr="00B02AD7">
              <w:rPr>
                <w:rFonts w:cstheme="minorHAnsi"/>
                <w:color w:val="00B050"/>
                <w:sz w:val="24"/>
                <w:szCs w:val="24"/>
              </w:rPr>
              <w:t>General Medicine</w:t>
            </w:r>
          </w:p>
        </w:tc>
        <w:tc>
          <w:tcPr>
            <w:tcW w:w="5472" w:type="dxa"/>
            <w:tcBorders>
              <w:bottom w:val="none" w:sz="0" w:space="0" w:color="auto"/>
            </w:tcBorders>
          </w:tcPr>
          <w:p w14:paraId="5863055D" w14:textId="098E70B3" w:rsidR="00DD71CC" w:rsidRPr="00CB040F" w:rsidRDefault="00DD71CC" w:rsidP="00DD7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2AD7">
              <w:rPr>
                <w:rFonts w:cstheme="minorHAnsi"/>
                <w:color w:val="00B050"/>
                <w:sz w:val="24"/>
                <w:szCs w:val="24"/>
              </w:rPr>
              <w:t>Paediatrics</w:t>
            </w:r>
          </w:p>
        </w:tc>
      </w:tr>
      <w:tr w:rsidR="00DD71CC" w:rsidRPr="0097751B" w14:paraId="7FFC947F" w14:textId="69D1A27D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1A4EEFC5" w14:textId="4BB14B58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Poorly controlled diabetes</w:t>
            </w:r>
          </w:p>
        </w:tc>
        <w:tc>
          <w:tcPr>
            <w:tcW w:w="5472" w:type="dxa"/>
          </w:tcPr>
          <w:p w14:paraId="2A539038" w14:textId="38863082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All neonates</w:t>
            </w:r>
          </w:p>
        </w:tc>
      </w:tr>
      <w:tr w:rsidR="00DD71CC" w:rsidRPr="0097751B" w14:paraId="715EAB06" w14:textId="62D08304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7BA81058" w14:textId="6BA44C1A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Pyrexia of unknown origin</w:t>
            </w:r>
          </w:p>
        </w:tc>
        <w:tc>
          <w:tcPr>
            <w:tcW w:w="5472" w:type="dxa"/>
          </w:tcPr>
          <w:p w14:paraId="743F2603" w14:textId="0EFFCEE2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6-week baby check</w:t>
            </w:r>
          </w:p>
        </w:tc>
      </w:tr>
      <w:tr w:rsidR="00DD71CC" w:rsidRPr="0097751B" w14:paraId="349EB58D" w14:textId="35A24111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7B3B56E4" w14:textId="1908792F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New neurological symptoms or signs</w:t>
            </w:r>
          </w:p>
        </w:tc>
        <w:tc>
          <w:tcPr>
            <w:tcW w:w="5472" w:type="dxa"/>
          </w:tcPr>
          <w:p w14:paraId="2CA70C4F" w14:textId="06B07DE9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Australian immunisations (including catch ups)</w:t>
            </w:r>
          </w:p>
        </w:tc>
      </w:tr>
      <w:tr w:rsidR="00DD71CC" w:rsidRPr="0097751B" w14:paraId="59E5FEB9" w14:textId="1F8FF217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2FBC307C" w14:textId="751DBDBD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Severe exacerbation of asthma or COPD</w:t>
            </w:r>
          </w:p>
        </w:tc>
        <w:tc>
          <w:tcPr>
            <w:tcW w:w="5472" w:type="dxa"/>
          </w:tcPr>
          <w:p w14:paraId="70472974" w14:textId="3BDB03E6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Unwell child under 2 years of age</w:t>
            </w:r>
          </w:p>
        </w:tc>
      </w:tr>
      <w:tr w:rsidR="00DD71CC" w:rsidRPr="0097751B" w14:paraId="3B8D3954" w14:textId="750E43D2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0062C7A5" w14:textId="1104E84F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Rash you are unfamiliar with</w:t>
            </w:r>
          </w:p>
        </w:tc>
        <w:tc>
          <w:tcPr>
            <w:tcW w:w="5472" w:type="dxa"/>
          </w:tcPr>
          <w:p w14:paraId="3F4CB2B8" w14:textId="5C31677E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Failure to thrive under 12 months of age</w:t>
            </w:r>
          </w:p>
        </w:tc>
      </w:tr>
      <w:tr w:rsidR="00DD71CC" w:rsidRPr="0097751B" w14:paraId="14EBDFAA" w14:textId="7C71182E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2CB26304" w14:textId="0450E0DD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Domestic (intimate partner) violence</w:t>
            </w:r>
          </w:p>
        </w:tc>
        <w:tc>
          <w:tcPr>
            <w:tcW w:w="5472" w:type="dxa"/>
          </w:tcPr>
          <w:p w14:paraId="19B986AA" w14:textId="6E5C3DEA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Developmental delay</w:t>
            </w:r>
          </w:p>
        </w:tc>
      </w:tr>
      <w:tr w:rsidR="00DD71CC" w:rsidRPr="0097751B" w14:paraId="4FB8C7F6" w14:textId="7D6FD53C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6ECC5ADC" w14:textId="6D78E638" w:rsidR="00DD71CC" w:rsidRPr="00CB040F" w:rsidRDefault="00DD71CC" w:rsidP="00DD71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2" w:type="dxa"/>
          </w:tcPr>
          <w:p w14:paraId="465468D1" w14:textId="63C01E7C" w:rsidR="00DD71CC" w:rsidRPr="00CB040F" w:rsidRDefault="00DD71CC" w:rsidP="00DD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Child and adolescent mental health consultations</w:t>
            </w:r>
          </w:p>
        </w:tc>
      </w:tr>
      <w:tr w:rsidR="00397F9D" w:rsidRPr="0097751B" w14:paraId="73EBC4E9" w14:textId="2F45E3E2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78DFB52C" w14:textId="0AA8FC24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02AD7">
              <w:rPr>
                <w:rFonts w:cstheme="minorHAnsi"/>
                <w:color w:val="00B050"/>
                <w:sz w:val="24"/>
                <w:szCs w:val="24"/>
              </w:rPr>
              <w:t>Dependence/Addiction/Pain Management</w:t>
            </w:r>
          </w:p>
        </w:tc>
        <w:tc>
          <w:tcPr>
            <w:tcW w:w="5472" w:type="dxa"/>
          </w:tcPr>
          <w:p w14:paraId="2744134B" w14:textId="5C5E6B37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 xml:space="preserve">Child abuse or unexplained injury </w:t>
            </w:r>
          </w:p>
        </w:tc>
      </w:tr>
      <w:tr w:rsidR="00397F9D" w:rsidRPr="0097751B" w14:paraId="6E1B0F0B" w14:textId="79A4F4F1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6167E518" w14:textId="0FDDA9E1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Chronic pain management</w:t>
            </w:r>
          </w:p>
        </w:tc>
        <w:tc>
          <w:tcPr>
            <w:tcW w:w="5472" w:type="dxa"/>
          </w:tcPr>
          <w:p w14:paraId="4855B371" w14:textId="2D43F399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Eating disorder</w:t>
            </w:r>
          </w:p>
        </w:tc>
      </w:tr>
      <w:tr w:rsidR="00397F9D" w:rsidRPr="0097751B" w14:paraId="551830AD" w14:textId="1AD1D37D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63D8AE3A" w14:textId="45CAC413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Managing alcohol/drug dependence</w:t>
            </w:r>
          </w:p>
        </w:tc>
        <w:tc>
          <w:tcPr>
            <w:tcW w:w="5472" w:type="dxa"/>
          </w:tcPr>
          <w:p w14:paraId="7EAB294A" w14:textId="435B2147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7F9D" w:rsidRPr="0097751B" w14:paraId="7C9BBCE6" w14:textId="075BF5A5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395B4321" w14:textId="0144A0C6" w:rsidR="00397F9D" w:rsidRPr="00B02AD7" w:rsidRDefault="00397F9D" w:rsidP="00397F9D">
            <w:pPr>
              <w:rPr>
                <w:rFonts w:cstheme="minorHAnsi"/>
                <w:b w:val="0"/>
                <w:bCs w:val="0"/>
                <w:color w:val="00B050"/>
                <w:sz w:val="24"/>
                <w:szCs w:val="24"/>
              </w:rPr>
            </w:pPr>
          </w:p>
        </w:tc>
        <w:tc>
          <w:tcPr>
            <w:tcW w:w="5472" w:type="dxa"/>
          </w:tcPr>
          <w:p w14:paraId="6DEB74DC" w14:textId="6BC327B2" w:rsidR="00397F9D" w:rsidRPr="00B02AD7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02AD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Mental health</w:t>
            </w:r>
          </w:p>
        </w:tc>
      </w:tr>
      <w:tr w:rsidR="00397F9D" w:rsidRPr="0097751B" w14:paraId="0114180C" w14:textId="7CEF056B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34790B12" w14:textId="09307532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02AD7">
              <w:rPr>
                <w:rFonts w:cstheme="minorHAnsi"/>
                <w:color w:val="00B050"/>
                <w:sz w:val="24"/>
                <w:szCs w:val="24"/>
              </w:rPr>
              <w:t>Sexual health</w:t>
            </w:r>
          </w:p>
        </w:tc>
        <w:tc>
          <w:tcPr>
            <w:tcW w:w="5472" w:type="dxa"/>
          </w:tcPr>
          <w:p w14:paraId="78AFD07B" w14:textId="38D6B912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Acutely suicidal patient</w:t>
            </w:r>
          </w:p>
        </w:tc>
      </w:tr>
      <w:tr w:rsidR="00397F9D" w:rsidRPr="0097751B" w14:paraId="4DE07FCD" w14:textId="77777777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05DCE9B6" w14:textId="230CAEAC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Patient requesting STI screen</w:t>
            </w:r>
          </w:p>
        </w:tc>
        <w:tc>
          <w:tcPr>
            <w:tcW w:w="5472" w:type="dxa"/>
          </w:tcPr>
          <w:p w14:paraId="6E765D26" w14:textId="2086C67A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Acute psychosis</w:t>
            </w:r>
          </w:p>
        </w:tc>
      </w:tr>
      <w:tr w:rsidR="00397F9D" w:rsidRPr="0097751B" w14:paraId="03A7F7A6" w14:textId="7D9FFB15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6D9553F3" w14:textId="2F5C3E0F" w:rsidR="00397F9D" w:rsidRPr="00CB040F" w:rsidRDefault="00397F9D" w:rsidP="00397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D704BC3" w14:textId="77777777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7F9D" w:rsidRPr="0097751B" w14:paraId="2A6CBAC0" w14:textId="581770D9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59227774" w14:textId="570F7BE7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02AD7">
              <w:rPr>
                <w:rFonts w:cstheme="minorHAnsi"/>
                <w:color w:val="00B050"/>
                <w:sz w:val="24"/>
                <w:szCs w:val="24"/>
              </w:rPr>
              <w:t>Travel Medicine</w:t>
            </w:r>
          </w:p>
        </w:tc>
        <w:tc>
          <w:tcPr>
            <w:tcW w:w="5472" w:type="dxa"/>
          </w:tcPr>
          <w:p w14:paraId="16511C29" w14:textId="6E5E19CC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02AD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Emergency Medicine/Acute Presentations</w:t>
            </w:r>
          </w:p>
        </w:tc>
      </w:tr>
      <w:tr w:rsidR="00397F9D" w:rsidRPr="0097751B" w14:paraId="51CFB7D8" w14:textId="40B216E1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49473646" w14:textId="081135AC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Pre-travel consultations</w:t>
            </w:r>
          </w:p>
        </w:tc>
        <w:tc>
          <w:tcPr>
            <w:tcW w:w="5472" w:type="dxa"/>
          </w:tcPr>
          <w:p w14:paraId="0B24823E" w14:textId="2B10964E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Acute significant systemic symptoms: collapse, rigors.</w:t>
            </w:r>
          </w:p>
        </w:tc>
      </w:tr>
      <w:tr w:rsidR="00397F9D" w:rsidRPr="0097751B" w14:paraId="7FE16BBA" w14:textId="12A54976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556F36D0" w14:textId="1744B86A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Unwell returned travellers or international visitors</w:t>
            </w:r>
          </w:p>
        </w:tc>
        <w:tc>
          <w:tcPr>
            <w:tcW w:w="5472" w:type="dxa"/>
          </w:tcPr>
          <w:p w14:paraId="69FFEB89" w14:textId="3662F718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Extreme abnormalities of vital signs</w:t>
            </w:r>
          </w:p>
        </w:tc>
      </w:tr>
      <w:tr w:rsidR="00397F9D" w:rsidRPr="0097751B" w14:paraId="369D2249" w14:textId="19FBE567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66EEB65A" w14:textId="30DCAF66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2" w:type="dxa"/>
          </w:tcPr>
          <w:p w14:paraId="6F9C52D8" w14:textId="0DAE1582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Acute onset of shortness of breath</w:t>
            </w:r>
          </w:p>
        </w:tc>
      </w:tr>
      <w:tr w:rsidR="00397F9D" w:rsidRPr="0097751B" w14:paraId="6BA65A0F" w14:textId="5B230BAC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03DD3D0A" w14:textId="641C3FF7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02AD7">
              <w:rPr>
                <w:rFonts w:cstheme="minorHAnsi"/>
                <w:color w:val="00B050"/>
                <w:sz w:val="24"/>
                <w:szCs w:val="24"/>
              </w:rPr>
              <w:t>Possible Malignancy</w:t>
            </w:r>
          </w:p>
        </w:tc>
        <w:tc>
          <w:tcPr>
            <w:tcW w:w="5472" w:type="dxa"/>
          </w:tcPr>
          <w:p w14:paraId="6A83B234" w14:textId="6A7BE222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Severe abdominal pain</w:t>
            </w:r>
          </w:p>
        </w:tc>
      </w:tr>
      <w:tr w:rsidR="00397F9D" w:rsidRPr="0097751B" w14:paraId="59731B42" w14:textId="5958643C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75FD0F25" w14:textId="687D1CA0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New bowel symptoms</w:t>
            </w:r>
            <w:r w:rsidR="001B5CA1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patient over 50 years of age</w:t>
            </w:r>
          </w:p>
        </w:tc>
        <w:tc>
          <w:tcPr>
            <w:tcW w:w="5472" w:type="dxa"/>
          </w:tcPr>
          <w:p w14:paraId="2F0A287E" w14:textId="2D9F1E40" w:rsidR="00397F9D" w:rsidRPr="00CB040F" w:rsidRDefault="00397F9D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Chest pain</w:t>
            </w:r>
          </w:p>
        </w:tc>
      </w:tr>
      <w:tr w:rsidR="00397F9D" w:rsidRPr="0097751B" w14:paraId="649BADD5" w14:textId="33C02352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4CE0A54D" w14:textId="5C4AC9D8" w:rsidR="00397F9D" w:rsidRPr="00CB040F" w:rsidRDefault="00397F9D" w:rsidP="00397F9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Painless haematuria</w:t>
            </w:r>
          </w:p>
        </w:tc>
        <w:tc>
          <w:tcPr>
            <w:tcW w:w="5472" w:type="dxa"/>
          </w:tcPr>
          <w:p w14:paraId="6D17C772" w14:textId="1E4C48CA" w:rsidR="00397F9D" w:rsidRPr="00CB040F" w:rsidRDefault="00CB040F" w:rsidP="0039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 xml:space="preserve">Acute red swollen joint </w:t>
            </w:r>
          </w:p>
        </w:tc>
      </w:tr>
      <w:tr w:rsidR="00B02AD7" w:rsidRPr="0097751B" w14:paraId="6BD10B26" w14:textId="0CDAD495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19CCCD4B" w14:textId="1BF076E1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Breast lump</w:t>
            </w:r>
          </w:p>
        </w:tc>
        <w:tc>
          <w:tcPr>
            <w:tcW w:w="5472" w:type="dxa"/>
          </w:tcPr>
          <w:p w14:paraId="421A0875" w14:textId="718DFBFE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Concussion/post head trauma</w:t>
            </w:r>
          </w:p>
        </w:tc>
      </w:tr>
      <w:tr w:rsidR="00B02AD7" w:rsidRPr="0097751B" w14:paraId="1DAF61FE" w14:textId="43FC6530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29F2632E" w14:textId="730D690E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Persistent cough</w:t>
            </w:r>
          </w:p>
        </w:tc>
        <w:tc>
          <w:tcPr>
            <w:tcW w:w="5472" w:type="dxa"/>
          </w:tcPr>
          <w:p w14:paraId="44C2AF9D" w14:textId="511FB9B4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Post collapse, possible seizure</w:t>
            </w:r>
          </w:p>
        </w:tc>
      </w:tr>
      <w:tr w:rsidR="00B02AD7" w:rsidRPr="0097751B" w14:paraId="7AB3EC11" w14:textId="7BD7F751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4ADB8EAA" w14:textId="27A60A9B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Testicular lump</w:t>
            </w:r>
          </w:p>
        </w:tc>
        <w:tc>
          <w:tcPr>
            <w:tcW w:w="5472" w:type="dxa"/>
          </w:tcPr>
          <w:p w14:paraId="2737E41A" w14:textId="0B9EE45D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Nerve, tendon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B040F">
              <w:rPr>
                <w:rFonts w:cstheme="minorHAnsi"/>
                <w:sz w:val="24"/>
                <w:szCs w:val="24"/>
              </w:rPr>
              <w:t xml:space="preserve"> or serious muscular injury </w:t>
            </w:r>
          </w:p>
        </w:tc>
      </w:tr>
      <w:tr w:rsidR="00B02AD7" w:rsidRPr="0097751B" w14:paraId="5EFC24AC" w14:textId="77777777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42B329D6" w14:textId="27F1A777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A new or enlarging lump</w:t>
            </w:r>
          </w:p>
        </w:tc>
        <w:tc>
          <w:tcPr>
            <w:tcW w:w="5472" w:type="dxa"/>
          </w:tcPr>
          <w:p w14:paraId="6E58C7F6" w14:textId="6AB1B7B6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Fracture</w:t>
            </w:r>
          </w:p>
        </w:tc>
      </w:tr>
      <w:tr w:rsidR="00B02AD7" w:rsidRPr="0097751B" w14:paraId="3BE835CD" w14:textId="77777777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0A17C184" w14:textId="7CB23AD2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Iron deficiency</w:t>
            </w:r>
          </w:p>
        </w:tc>
        <w:tc>
          <w:tcPr>
            <w:tcW w:w="5472" w:type="dxa"/>
            <w:vMerge w:val="restart"/>
          </w:tcPr>
          <w:p w14:paraId="4C678F10" w14:textId="6B669169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Acute eye - unilateral red, painful, vision loss, or periorbital swelling</w:t>
            </w:r>
          </w:p>
        </w:tc>
      </w:tr>
      <w:tr w:rsidR="00B02AD7" w:rsidRPr="0097751B" w14:paraId="0772D962" w14:textId="77777777" w:rsidTr="001B5CA1">
        <w:trPr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5664BCE8" w14:textId="27050082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Unexplained weight loss</w:t>
            </w:r>
          </w:p>
        </w:tc>
        <w:tc>
          <w:tcPr>
            <w:tcW w:w="5472" w:type="dxa"/>
            <w:vMerge/>
          </w:tcPr>
          <w:p w14:paraId="71AFFC66" w14:textId="6F4E2440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02AD7" w:rsidRPr="0097751B" w14:paraId="215F04D3" w14:textId="77777777" w:rsidTr="001B5CA1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5C0A2FAF" w14:textId="1222AD55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02AD7">
              <w:rPr>
                <w:rFonts w:cstheme="minorHAnsi"/>
                <w:b w:val="0"/>
                <w:bCs w:val="0"/>
                <w:sz w:val="24"/>
                <w:szCs w:val="24"/>
              </w:rPr>
              <w:t>Lymph node enlargement without simple explanation</w:t>
            </w:r>
          </w:p>
        </w:tc>
        <w:tc>
          <w:tcPr>
            <w:tcW w:w="5472" w:type="dxa"/>
          </w:tcPr>
          <w:p w14:paraId="0DD4376D" w14:textId="646B731D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Severe headache that is new or sudden onset or associated with vision change or meningism</w:t>
            </w:r>
          </w:p>
        </w:tc>
      </w:tr>
      <w:tr w:rsidR="00B02AD7" w:rsidRPr="0097751B" w14:paraId="32185FA6" w14:textId="77777777" w:rsidTr="001B5CA1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2FB2B0E7" w14:textId="66020CBE" w:rsidR="00B02AD7" w:rsidRPr="00CB040F" w:rsidRDefault="00B02AD7" w:rsidP="00B02AD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Skin lesions you are unsure of diagnosis and whether to excise</w:t>
            </w:r>
          </w:p>
        </w:tc>
        <w:tc>
          <w:tcPr>
            <w:tcW w:w="5472" w:type="dxa"/>
          </w:tcPr>
          <w:p w14:paraId="75394BA8" w14:textId="3AE004DE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 xml:space="preserve">Trauma with high risk of injury e.g. high speed or rollover MVA </w:t>
            </w:r>
          </w:p>
        </w:tc>
      </w:tr>
      <w:tr w:rsidR="00B02AD7" w:rsidRPr="0097751B" w14:paraId="480067D8" w14:textId="77777777" w:rsidTr="001B5CA1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14:paraId="2D8DF5B6" w14:textId="584C54A4" w:rsidR="00B02AD7" w:rsidRPr="00CB040F" w:rsidRDefault="00B02AD7" w:rsidP="00B02AD7">
            <w:pPr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b w:val="0"/>
                <w:bCs w:val="0"/>
                <w:sz w:val="24"/>
                <w:szCs w:val="24"/>
              </w:rPr>
              <w:t>PR bleeding</w:t>
            </w:r>
          </w:p>
        </w:tc>
        <w:tc>
          <w:tcPr>
            <w:tcW w:w="5472" w:type="dxa"/>
          </w:tcPr>
          <w:p w14:paraId="3A180EE6" w14:textId="16FF09CB" w:rsidR="00B02AD7" w:rsidRPr="00CB040F" w:rsidRDefault="00B02AD7" w:rsidP="00B0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40F">
              <w:rPr>
                <w:rFonts w:cstheme="minorHAnsi"/>
                <w:sz w:val="24"/>
                <w:szCs w:val="24"/>
              </w:rPr>
              <w:t>Sudden loss of hearing not due to wax</w:t>
            </w:r>
          </w:p>
        </w:tc>
      </w:tr>
    </w:tbl>
    <w:p w14:paraId="341BEF9B" w14:textId="60FC4705" w:rsidR="00D03DD5" w:rsidRDefault="00D03DD5" w:rsidP="00A60B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3D65B4" w14:textId="537390E4" w:rsidR="00B02AD7" w:rsidRDefault="00B02AD7" w:rsidP="00A60B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8A6741" w14:textId="3FA7D5B8" w:rsidR="00B02AD7" w:rsidRPr="00B02AD7" w:rsidRDefault="00B02AD7" w:rsidP="00A60BD7">
      <w:pPr>
        <w:spacing w:after="0" w:line="240" w:lineRule="auto"/>
        <w:rPr>
          <w:rFonts w:cstheme="minorHAnsi"/>
          <w:b/>
          <w:bCs/>
        </w:rPr>
      </w:pPr>
    </w:p>
    <w:p w14:paraId="24E4BC1D" w14:textId="1F2963FE" w:rsidR="00B02AD7" w:rsidRPr="00B02AD7" w:rsidRDefault="00B02AD7" w:rsidP="00B02AD7">
      <w:pPr>
        <w:spacing w:after="0" w:line="240" w:lineRule="auto"/>
        <w:rPr>
          <w:sz w:val="20"/>
          <w:szCs w:val="20"/>
        </w:rPr>
      </w:pPr>
      <w:r w:rsidRPr="00B02AD7">
        <w:rPr>
          <w:sz w:val="20"/>
          <w:szCs w:val="20"/>
        </w:rPr>
        <w:t xml:space="preserve">Source: G Ingham, K </w:t>
      </w:r>
      <w:proofErr w:type="spellStart"/>
      <w:r w:rsidRPr="00B02AD7">
        <w:rPr>
          <w:sz w:val="20"/>
          <w:szCs w:val="20"/>
        </w:rPr>
        <w:t>Plastow</w:t>
      </w:r>
      <w:proofErr w:type="spellEnd"/>
      <w:r w:rsidRPr="00B02AD7">
        <w:rPr>
          <w:sz w:val="20"/>
          <w:szCs w:val="20"/>
        </w:rPr>
        <w:t xml:space="preserve">, R Kippen, N White 2020. ‘A “call for help” list for Australian general practice registrars’, </w:t>
      </w:r>
      <w:r w:rsidRPr="00B02AD7">
        <w:rPr>
          <w:i/>
          <w:sz w:val="20"/>
          <w:szCs w:val="20"/>
        </w:rPr>
        <w:t>Australian Journal of General Practice</w:t>
      </w:r>
      <w:r w:rsidRPr="00B02AD7">
        <w:rPr>
          <w:sz w:val="20"/>
          <w:szCs w:val="20"/>
        </w:rPr>
        <w:t>, 49: 280–7.</w:t>
      </w:r>
    </w:p>
    <w:p w14:paraId="11EDBA61" w14:textId="77777777" w:rsidR="00B02AD7" w:rsidRPr="00B02AD7" w:rsidRDefault="00B02AD7" w:rsidP="00B02AD7">
      <w:pPr>
        <w:spacing w:after="0" w:line="240" w:lineRule="auto"/>
        <w:rPr>
          <w:sz w:val="20"/>
          <w:szCs w:val="20"/>
        </w:rPr>
      </w:pPr>
    </w:p>
    <w:p w14:paraId="7611633F" w14:textId="0DAF4BFD" w:rsidR="00B02AD7" w:rsidRPr="00B02AD7" w:rsidRDefault="00B02AD7" w:rsidP="00B02AD7">
      <w:pPr>
        <w:spacing w:after="0" w:line="240" w:lineRule="auto"/>
        <w:rPr>
          <w:sz w:val="20"/>
          <w:szCs w:val="20"/>
        </w:rPr>
      </w:pPr>
      <w:r w:rsidRPr="00B02AD7">
        <w:rPr>
          <w:sz w:val="20"/>
          <w:szCs w:val="20"/>
        </w:rPr>
        <w:t xml:space="preserve">Acknowledgements: This work was supported by The Royal Australian College of General Practitioners with funding from the Australian Government. </w:t>
      </w:r>
    </w:p>
    <w:p w14:paraId="1902E574" w14:textId="77777777" w:rsidR="00B02AD7" w:rsidRPr="00B02AD7" w:rsidRDefault="00B02AD7" w:rsidP="00B02AD7">
      <w:pPr>
        <w:spacing w:after="0" w:line="240" w:lineRule="auto"/>
      </w:pPr>
    </w:p>
    <w:p w14:paraId="24BEDB06" w14:textId="6813CA11" w:rsidR="00B02AD7" w:rsidRPr="00B02AD7" w:rsidRDefault="00B02AD7" w:rsidP="00B02AD7">
      <w:pPr>
        <w:spacing w:after="0" w:line="240" w:lineRule="auto"/>
        <w:rPr>
          <w:rFonts w:cstheme="minorHAnsi"/>
          <w:b/>
          <w:bCs/>
        </w:rPr>
      </w:pPr>
    </w:p>
    <w:sectPr w:rsidR="00B02AD7" w:rsidRPr="00B02AD7" w:rsidSect="00B5325D">
      <w:pgSz w:w="11906" w:h="16838"/>
      <w:pgMar w:top="45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5"/>
    <w:rsid w:val="00022287"/>
    <w:rsid w:val="00044C57"/>
    <w:rsid w:val="00052809"/>
    <w:rsid w:val="000671C9"/>
    <w:rsid w:val="000D6EB9"/>
    <w:rsid w:val="001B5CA1"/>
    <w:rsid w:val="002A3FF1"/>
    <w:rsid w:val="002B2118"/>
    <w:rsid w:val="002C0184"/>
    <w:rsid w:val="002C30C9"/>
    <w:rsid w:val="003605A2"/>
    <w:rsid w:val="00397F9D"/>
    <w:rsid w:val="0044046E"/>
    <w:rsid w:val="00491EBC"/>
    <w:rsid w:val="00503FD7"/>
    <w:rsid w:val="005E1FFC"/>
    <w:rsid w:val="007244CC"/>
    <w:rsid w:val="007B2BCE"/>
    <w:rsid w:val="00830678"/>
    <w:rsid w:val="0092220E"/>
    <w:rsid w:val="00927556"/>
    <w:rsid w:val="00974665"/>
    <w:rsid w:val="0097751B"/>
    <w:rsid w:val="009B6080"/>
    <w:rsid w:val="009C1E5D"/>
    <w:rsid w:val="00A60BD7"/>
    <w:rsid w:val="00A862BF"/>
    <w:rsid w:val="00B02AD7"/>
    <w:rsid w:val="00B5325D"/>
    <w:rsid w:val="00BF021B"/>
    <w:rsid w:val="00BF472D"/>
    <w:rsid w:val="00CA483D"/>
    <w:rsid w:val="00CB040F"/>
    <w:rsid w:val="00D03DD5"/>
    <w:rsid w:val="00DA4849"/>
    <w:rsid w:val="00DD71CC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8231"/>
  <w15:chartTrackingRefBased/>
  <w15:docId w15:val="{E6AB5407-076F-4274-AFF0-4AD2BEC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503F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2A3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Kippen</dc:creator>
  <cp:keywords/>
  <dc:description/>
  <cp:lastModifiedBy>Rebecca Kippen</cp:lastModifiedBy>
  <cp:revision>2</cp:revision>
  <dcterms:created xsi:type="dcterms:W3CDTF">2020-10-13T01:10:00Z</dcterms:created>
  <dcterms:modified xsi:type="dcterms:W3CDTF">2020-10-13T01:10:00Z</dcterms:modified>
</cp:coreProperties>
</file>