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D3B44" w14:textId="77777777" w:rsidR="00E9501E" w:rsidRPr="00E9501E" w:rsidRDefault="00E9501E" w:rsidP="00E9501E">
      <w:pPr>
        <w:rPr>
          <w:rFonts w:ascii="Arial" w:hAnsi="Arial" w:cs="Arial"/>
        </w:rPr>
      </w:pPr>
      <w:r w:rsidRPr="00E9501E">
        <w:rPr>
          <w:rFonts w:ascii="Arial" w:eastAsiaTheme="majorEastAsia" w:hAnsi="Arial" w:cs="Arial"/>
          <w:b/>
          <w:noProof/>
          <w:color w:val="2E74B5" w:themeColor="accent1" w:themeShade="BF"/>
          <w:sz w:val="32"/>
          <w:szCs w:val="32"/>
          <w:lang w:eastAsia="en-AU"/>
        </w:rPr>
        <w:drawing>
          <wp:anchor distT="0" distB="0" distL="114300" distR="114300" simplePos="0" relativeHeight="251661312" behindDoc="1" locked="0" layoutInCell="1" allowOverlap="1" wp14:anchorId="1E7681DF" wp14:editId="43611AF5">
            <wp:simplePos x="0" y="0"/>
            <wp:positionH relativeFrom="margin">
              <wp:align>center</wp:align>
            </wp:positionH>
            <wp:positionV relativeFrom="paragraph">
              <wp:posOffset>-601345</wp:posOffset>
            </wp:positionV>
            <wp:extent cx="6918960" cy="25425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77ABE" w14:textId="77777777" w:rsidR="00E9501E" w:rsidRPr="00E9501E" w:rsidRDefault="00E9501E" w:rsidP="00E9501E">
      <w:pPr>
        <w:rPr>
          <w:rFonts w:ascii="Arial Narrow" w:hAnsi="Arial Narrow" w:cs="Arial"/>
        </w:rPr>
      </w:pPr>
      <w:r w:rsidRPr="00E9501E">
        <w:rPr>
          <w:rFonts w:ascii="Arial Narrow" w:eastAsiaTheme="majorEastAsia" w:hAnsi="Arial Narrow" w:cs="Arial"/>
          <w:b/>
          <w:color w:val="FFFFFF" w:themeColor="background1"/>
          <w:sz w:val="44"/>
          <w:szCs w:val="32"/>
        </w:rPr>
        <w:t>The Pop-Up Project</w:t>
      </w:r>
    </w:p>
    <w:p w14:paraId="42BC9919" w14:textId="77777777" w:rsidR="00E9501E" w:rsidRPr="00E9501E" w:rsidRDefault="00E9501E" w:rsidP="00E9501E">
      <w:pPr>
        <w:keepNext/>
        <w:keepLines/>
        <w:spacing w:before="40" w:after="0"/>
        <w:outlineLvl w:val="1"/>
        <w:rPr>
          <w:rFonts w:ascii="Arial Narrow" w:eastAsiaTheme="majorEastAsia" w:hAnsi="Arial Narrow" w:cs="Arial"/>
          <w:color w:val="FFFFFF" w:themeColor="background1"/>
          <w:sz w:val="36"/>
          <w:szCs w:val="26"/>
        </w:rPr>
      </w:pPr>
      <w:r w:rsidRPr="00E9501E">
        <w:rPr>
          <w:rFonts w:ascii="Arial Narrow" w:eastAsiaTheme="majorEastAsia" w:hAnsi="Arial Narrow" w:cs="Arial"/>
          <w:color w:val="FFFFFF" w:themeColor="background1"/>
          <w:sz w:val="36"/>
          <w:szCs w:val="26"/>
        </w:rPr>
        <w:t xml:space="preserve">Bringing care to those in need: Translating a ‘Pop-Up’ </w:t>
      </w:r>
    </w:p>
    <w:p w14:paraId="584A3843" w14:textId="77777777" w:rsidR="00E9501E" w:rsidRPr="00E9501E" w:rsidRDefault="00E9501E" w:rsidP="00E9501E">
      <w:pPr>
        <w:keepNext/>
        <w:keepLines/>
        <w:spacing w:before="40" w:after="0"/>
        <w:outlineLvl w:val="1"/>
        <w:rPr>
          <w:rFonts w:ascii="Arial Narrow" w:eastAsiaTheme="majorEastAsia" w:hAnsi="Arial Narrow" w:cs="Arial"/>
          <w:color w:val="FFFFFF" w:themeColor="background1"/>
          <w:sz w:val="36"/>
          <w:szCs w:val="26"/>
        </w:rPr>
      </w:pPr>
      <w:r w:rsidRPr="00E9501E">
        <w:rPr>
          <w:rFonts w:ascii="Arial Narrow" w:eastAsiaTheme="majorEastAsia" w:hAnsi="Arial Narrow" w:cs="Arial"/>
          <w:color w:val="FFFFFF" w:themeColor="background1"/>
          <w:sz w:val="36"/>
          <w:szCs w:val="26"/>
        </w:rPr>
        <w:t xml:space="preserve">Health and Social Support Intervention </w:t>
      </w:r>
      <w:r w:rsidR="004E5124">
        <w:rPr>
          <w:rFonts w:ascii="Arial Narrow" w:eastAsiaTheme="majorEastAsia" w:hAnsi="Arial Narrow" w:cs="Arial"/>
          <w:color w:val="FFFFFF" w:themeColor="background1"/>
          <w:sz w:val="36"/>
          <w:szCs w:val="26"/>
        </w:rPr>
        <w:t>for</w:t>
      </w:r>
    </w:p>
    <w:p w14:paraId="325D368F" w14:textId="1539A703" w:rsidR="00E9501E" w:rsidRPr="00E9501E" w:rsidRDefault="00030DA8" w:rsidP="00E9501E">
      <w:pPr>
        <w:keepNext/>
        <w:keepLines/>
        <w:spacing w:before="40" w:after="0"/>
        <w:outlineLvl w:val="1"/>
        <w:rPr>
          <w:rFonts w:ascii="Arial Narrow" w:eastAsiaTheme="majorEastAsia" w:hAnsi="Arial Narrow" w:cs="Arial"/>
          <w:color w:val="FFFFFF" w:themeColor="background1"/>
          <w:sz w:val="36"/>
          <w:szCs w:val="26"/>
        </w:rPr>
      </w:pPr>
      <w:proofErr w:type="gramStart"/>
      <w:r>
        <w:rPr>
          <w:rFonts w:ascii="Arial Narrow" w:eastAsiaTheme="majorEastAsia" w:hAnsi="Arial Narrow" w:cs="Arial"/>
          <w:color w:val="FFFFFF" w:themeColor="background1"/>
          <w:sz w:val="36"/>
          <w:szCs w:val="26"/>
        </w:rPr>
        <w:t>vulnerable</w:t>
      </w:r>
      <w:proofErr w:type="gramEnd"/>
      <w:r>
        <w:rPr>
          <w:rFonts w:ascii="Arial Narrow" w:eastAsiaTheme="majorEastAsia" w:hAnsi="Arial Narrow" w:cs="Arial"/>
          <w:color w:val="FFFFFF" w:themeColor="background1"/>
          <w:sz w:val="36"/>
          <w:szCs w:val="26"/>
        </w:rPr>
        <w:t xml:space="preserve"> communities in South </w:t>
      </w:r>
      <w:r w:rsidR="00E9501E" w:rsidRPr="00E9501E">
        <w:rPr>
          <w:rFonts w:ascii="Arial Narrow" w:eastAsiaTheme="majorEastAsia" w:hAnsi="Arial Narrow" w:cs="Arial"/>
          <w:color w:val="FFFFFF" w:themeColor="background1"/>
          <w:sz w:val="36"/>
          <w:szCs w:val="26"/>
        </w:rPr>
        <w:t>East Melbourne</w:t>
      </w:r>
    </w:p>
    <w:p w14:paraId="3D02EC15" w14:textId="77777777" w:rsidR="00B27DE9" w:rsidRPr="00E9501E" w:rsidRDefault="00B27DE9" w:rsidP="00457C32">
      <w:pPr>
        <w:rPr>
          <w:rFonts w:ascii="Arial" w:hAnsi="Arial" w:cs="Arial"/>
          <w:b/>
        </w:rPr>
      </w:pPr>
    </w:p>
    <w:p w14:paraId="3427BD31" w14:textId="77777777" w:rsidR="00E9501E" w:rsidRPr="00E9501E" w:rsidRDefault="00E9501E" w:rsidP="00D42A1D">
      <w:pPr>
        <w:pStyle w:val="Heading3"/>
        <w:rPr>
          <w:rFonts w:ascii="Arial" w:hAnsi="Arial" w:cs="Arial"/>
        </w:rPr>
      </w:pPr>
    </w:p>
    <w:p w14:paraId="7391D94A" w14:textId="77777777" w:rsidR="00D87833" w:rsidRPr="00CC74DD" w:rsidRDefault="00457C32" w:rsidP="00E9501E">
      <w:pPr>
        <w:pStyle w:val="Heading3"/>
        <w:jc w:val="both"/>
        <w:rPr>
          <w:rFonts w:ascii="Arial" w:hAnsi="Arial" w:cs="Arial"/>
          <w:b/>
        </w:rPr>
      </w:pPr>
      <w:r w:rsidRPr="00CC74DD">
        <w:rPr>
          <w:rFonts w:ascii="Arial" w:hAnsi="Arial" w:cs="Arial"/>
          <w:b/>
        </w:rPr>
        <w:t xml:space="preserve">Background </w:t>
      </w:r>
    </w:p>
    <w:p w14:paraId="3D49D994" w14:textId="08786B3D" w:rsidR="003A66F9" w:rsidRPr="00E9501E" w:rsidRDefault="003A66F9" w:rsidP="00030DA8">
      <w:pPr>
        <w:rPr>
          <w:rFonts w:ascii="Arial" w:hAnsi="Arial" w:cs="Arial"/>
        </w:rPr>
      </w:pPr>
      <w:r w:rsidRPr="00E9501E">
        <w:rPr>
          <w:rFonts w:ascii="Arial" w:hAnsi="Arial" w:cs="Arial"/>
        </w:rPr>
        <w:t xml:space="preserve">The </w:t>
      </w:r>
      <w:r w:rsidR="00030DA8">
        <w:rPr>
          <w:rFonts w:ascii="Arial" w:hAnsi="Arial" w:cs="Arial"/>
        </w:rPr>
        <w:t xml:space="preserve">South </w:t>
      </w:r>
      <w:r w:rsidR="00EF61C3" w:rsidRPr="00E9501E">
        <w:rPr>
          <w:rFonts w:ascii="Arial" w:hAnsi="Arial" w:cs="Arial"/>
        </w:rPr>
        <w:t>East</w:t>
      </w:r>
      <w:r w:rsidRPr="00E9501E">
        <w:rPr>
          <w:rFonts w:ascii="Arial" w:hAnsi="Arial" w:cs="Arial"/>
        </w:rPr>
        <w:t xml:space="preserve"> Melbourne region has a high proportion of geographically isolated, vulnerable people with limited transportation op</w:t>
      </w:r>
      <w:r w:rsidR="00D42A1D" w:rsidRPr="00E9501E">
        <w:rPr>
          <w:rFonts w:ascii="Arial" w:hAnsi="Arial" w:cs="Arial"/>
        </w:rPr>
        <w:t>tions, food insecurity and low</w:t>
      </w:r>
      <w:r w:rsidRPr="00E9501E">
        <w:rPr>
          <w:rFonts w:ascii="Arial" w:hAnsi="Arial" w:cs="Arial"/>
        </w:rPr>
        <w:t xml:space="preserve"> household incomes. </w:t>
      </w:r>
      <w:r w:rsidR="0051186E">
        <w:rPr>
          <w:rFonts w:ascii="Arial" w:hAnsi="Arial" w:cs="Arial"/>
        </w:rPr>
        <w:t>Primary health care</w:t>
      </w:r>
      <w:r w:rsidRPr="00E9501E">
        <w:rPr>
          <w:rFonts w:ascii="Arial" w:hAnsi="Arial" w:cs="Arial"/>
        </w:rPr>
        <w:t xml:space="preserve"> is hard to </w:t>
      </w:r>
      <w:r w:rsidR="008B5FC5" w:rsidRPr="00E9501E">
        <w:rPr>
          <w:rFonts w:ascii="Arial" w:hAnsi="Arial" w:cs="Arial"/>
        </w:rPr>
        <w:t>access for communities in this area, and there are barriers to communities obtaining help</w:t>
      </w:r>
      <w:r w:rsidR="00030DA8">
        <w:rPr>
          <w:rFonts w:ascii="Arial" w:hAnsi="Arial" w:cs="Arial"/>
        </w:rPr>
        <w:t>,</w:t>
      </w:r>
      <w:r w:rsidR="008B5FC5" w:rsidRPr="00E9501E">
        <w:rPr>
          <w:rFonts w:ascii="Arial" w:hAnsi="Arial" w:cs="Arial"/>
        </w:rPr>
        <w:t xml:space="preserve"> despite the presence of many local health and </w:t>
      </w:r>
      <w:r w:rsidR="00FC5B4D">
        <w:rPr>
          <w:rFonts w:ascii="Arial" w:hAnsi="Arial" w:cs="Arial"/>
        </w:rPr>
        <w:t>social support</w:t>
      </w:r>
      <w:r w:rsidR="008B5FC5" w:rsidRPr="00E9501E">
        <w:rPr>
          <w:rFonts w:ascii="Arial" w:hAnsi="Arial" w:cs="Arial"/>
        </w:rPr>
        <w:t xml:space="preserve"> agencies. </w:t>
      </w:r>
      <w:r w:rsidRPr="00E9501E">
        <w:rPr>
          <w:rFonts w:ascii="Arial" w:hAnsi="Arial" w:cs="Arial"/>
        </w:rPr>
        <w:t xml:space="preserve">Poor access to community based </w:t>
      </w:r>
      <w:r w:rsidR="0051186E">
        <w:rPr>
          <w:rFonts w:ascii="Arial" w:hAnsi="Arial" w:cs="Arial"/>
        </w:rPr>
        <w:t>p</w:t>
      </w:r>
      <w:r w:rsidR="0051186E" w:rsidRPr="00E9501E">
        <w:rPr>
          <w:rFonts w:ascii="Arial" w:hAnsi="Arial" w:cs="Arial"/>
        </w:rPr>
        <w:t xml:space="preserve">rimary health care </w:t>
      </w:r>
      <w:r w:rsidRPr="00E9501E">
        <w:rPr>
          <w:rFonts w:ascii="Arial" w:hAnsi="Arial" w:cs="Arial"/>
        </w:rPr>
        <w:t>leads to overloaded emergency departments, avoidable hospitalisations, increased costs and poor health outcomes.</w:t>
      </w:r>
    </w:p>
    <w:p w14:paraId="552CD99B" w14:textId="5BD3F84F" w:rsidR="003A66F9" w:rsidRPr="00E9501E" w:rsidRDefault="00FC5B4D" w:rsidP="00030DA8">
      <w:pPr>
        <w:rPr>
          <w:rFonts w:ascii="Arial" w:hAnsi="Arial" w:cs="Arial"/>
        </w:rPr>
      </w:pPr>
      <w:r>
        <w:rPr>
          <w:rFonts w:ascii="Arial" w:hAnsi="Arial" w:cs="Arial"/>
        </w:rPr>
        <w:t>The Pop-Up project</w:t>
      </w:r>
      <w:r w:rsidR="003A66F9" w:rsidRPr="00E9501E">
        <w:rPr>
          <w:rFonts w:ascii="Arial" w:hAnsi="Arial" w:cs="Arial"/>
        </w:rPr>
        <w:t xml:space="preserve"> (‘Bringing care to those in need: Translating a Pop-Up Health and social support intervention to vulnerable communities in South East Melbourne’), was a Monash University led study in collaboration with Dr Cathie Scott of </w:t>
      </w:r>
      <w:proofErr w:type="spellStart"/>
      <w:r w:rsidR="003A66F9" w:rsidRPr="00E9501E">
        <w:rPr>
          <w:rFonts w:ascii="Arial" w:hAnsi="Arial" w:cs="Arial"/>
        </w:rPr>
        <w:t>PolicyWise</w:t>
      </w:r>
      <w:proofErr w:type="spellEnd"/>
      <w:r w:rsidR="003A66F9" w:rsidRPr="00E9501E">
        <w:rPr>
          <w:rFonts w:ascii="Arial" w:hAnsi="Arial" w:cs="Arial"/>
        </w:rPr>
        <w:t xml:space="preserve"> for Children &amp; Families in Alberta Canada. This 12-month study arose from a larger piece of work, </w:t>
      </w:r>
      <w:hyperlink r:id="rId8" w:history="1">
        <w:r w:rsidR="003A66F9" w:rsidRPr="00030DA8">
          <w:rPr>
            <w:rStyle w:val="Hyperlink"/>
            <w:rFonts w:ascii="Arial" w:hAnsi="Arial" w:cs="Arial"/>
          </w:rPr>
          <w:t>Innovative Models Promoting Access-to-Care Transformation (IMPACT) Centre o</w:t>
        </w:r>
        <w:r w:rsidR="0051186E" w:rsidRPr="00030DA8">
          <w:rPr>
            <w:rStyle w:val="Hyperlink"/>
            <w:rFonts w:ascii="Arial" w:hAnsi="Arial" w:cs="Arial"/>
          </w:rPr>
          <w:t>f Research Excellence</w:t>
        </w:r>
      </w:hyperlink>
      <w:r w:rsidR="003A66F9" w:rsidRPr="00E9501E">
        <w:rPr>
          <w:rFonts w:ascii="Arial" w:hAnsi="Arial" w:cs="Arial"/>
        </w:rPr>
        <w:t xml:space="preserve">. </w:t>
      </w:r>
      <w:r w:rsidR="00D42A1D" w:rsidRPr="00E9501E">
        <w:rPr>
          <w:rFonts w:ascii="Arial" w:hAnsi="Arial" w:cs="Arial"/>
        </w:rPr>
        <w:t xml:space="preserve"> Our project partners were: Monash Health (Monash Health Community</w:t>
      </w:r>
      <w:r w:rsidR="00030DA8">
        <w:rPr>
          <w:rFonts w:ascii="Arial" w:hAnsi="Arial" w:cs="Arial"/>
        </w:rPr>
        <w:t>,</w:t>
      </w:r>
      <w:r w:rsidR="00D42A1D" w:rsidRPr="00E9501E">
        <w:rPr>
          <w:rFonts w:ascii="Arial" w:hAnsi="Arial" w:cs="Arial"/>
        </w:rPr>
        <w:t xml:space="preserve"> Monash Health Dental Service), Central Bayside C</w:t>
      </w:r>
      <w:r>
        <w:rPr>
          <w:rFonts w:ascii="Arial" w:hAnsi="Arial" w:cs="Arial"/>
        </w:rPr>
        <w:t>ommunity Health Services</w:t>
      </w:r>
      <w:r w:rsidR="00D42A1D" w:rsidRPr="00E9501E">
        <w:rPr>
          <w:rFonts w:ascii="Arial" w:hAnsi="Arial" w:cs="Arial"/>
        </w:rPr>
        <w:t>, enliven (a Primary Care Partnership) and the Victorian Department of Health and Human Services.</w:t>
      </w:r>
      <w:r w:rsidR="00152E04">
        <w:rPr>
          <w:rFonts w:ascii="Arial" w:hAnsi="Arial" w:cs="Arial"/>
        </w:rPr>
        <w:t xml:space="preserve"> Project partners and Monash Un</w:t>
      </w:r>
      <w:r w:rsidR="00030DA8">
        <w:rPr>
          <w:rFonts w:ascii="Arial" w:hAnsi="Arial" w:cs="Arial"/>
        </w:rPr>
        <w:t>iversity staff worked together i</w:t>
      </w:r>
      <w:r w:rsidR="00152E04">
        <w:rPr>
          <w:rFonts w:ascii="Arial" w:hAnsi="Arial" w:cs="Arial"/>
        </w:rPr>
        <w:t>n a steering group to guide the project.</w:t>
      </w:r>
    </w:p>
    <w:p w14:paraId="34A4FD28" w14:textId="292C7A66" w:rsidR="00EF61C3" w:rsidRPr="00E9501E" w:rsidRDefault="00421367" w:rsidP="00030DA8">
      <w:pPr>
        <w:rPr>
          <w:rFonts w:ascii="Arial" w:hAnsi="Arial" w:cs="Arial"/>
        </w:rPr>
      </w:pPr>
      <w:r w:rsidRPr="00E9501E">
        <w:rPr>
          <w:rFonts w:ascii="Arial" w:hAnsi="Arial" w:cs="Arial"/>
        </w:rPr>
        <w:t xml:space="preserve">The aim of the Pop-Up project </w:t>
      </w:r>
      <w:r w:rsidR="00EF61C3" w:rsidRPr="00E9501E">
        <w:rPr>
          <w:rFonts w:ascii="Arial" w:hAnsi="Arial" w:cs="Arial"/>
        </w:rPr>
        <w:t>was to implement a number of Pop-Up</w:t>
      </w:r>
      <w:r w:rsidR="00FC5B4D">
        <w:rPr>
          <w:rFonts w:ascii="Arial" w:hAnsi="Arial" w:cs="Arial"/>
        </w:rPr>
        <w:t xml:space="preserve"> event</w:t>
      </w:r>
      <w:r w:rsidR="00EF61C3" w:rsidRPr="00E9501E">
        <w:rPr>
          <w:rFonts w:ascii="Arial" w:hAnsi="Arial" w:cs="Arial"/>
        </w:rPr>
        <w:t>s to improve access to health and social support s</w:t>
      </w:r>
      <w:r w:rsidR="00030DA8">
        <w:rPr>
          <w:rFonts w:ascii="Arial" w:hAnsi="Arial" w:cs="Arial"/>
        </w:rPr>
        <w:t xml:space="preserve">ervices for people in the South </w:t>
      </w:r>
      <w:r w:rsidR="00EF61C3" w:rsidRPr="00E9501E">
        <w:rPr>
          <w:rFonts w:ascii="Arial" w:hAnsi="Arial" w:cs="Arial"/>
        </w:rPr>
        <w:t xml:space="preserve">East Melbourne region of Victoria who </w:t>
      </w:r>
      <w:proofErr w:type="gramStart"/>
      <w:r w:rsidR="00EF61C3" w:rsidRPr="00E9501E">
        <w:rPr>
          <w:rFonts w:ascii="Arial" w:hAnsi="Arial" w:cs="Arial"/>
        </w:rPr>
        <w:t>are underserved</w:t>
      </w:r>
      <w:proofErr w:type="gramEnd"/>
      <w:r w:rsidR="00EF61C3" w:rsidRPr="00E9501E">
        <w:rPr>
          <w:rFonts w:ascii="Arial" w:hAnsi="Arial" w:cs="Arial"/>
        </w:rPr>
        <w:t xml:space="preserve"> by, and struggle to connect with these services. The project used a co-design process to capture the priorities of </w:t>
      </w:r>
      <w:r w:rsidR="00FC5B4D">
        <w:rPr>
          <w:rFonts w:ascii="Arial" w:hAnsi="Arial" w:cs="Arial"/>
        </w:rPr>
        <w:t>community members and</w:t>
      </w:r>
      <w:r w:rsidR="00EF61C3" w:rsidRPr="00E9501E">
        <w:rPr>
          <w:rFonts w:ascii="Arial" w:hAnsi="Arial" w:cs="Arial"/>
        </w:rPr>
        <w:t xml:space="preserve"> project partners, and further aimed to </w:t>
      </w:r>
      <w:r w:rsidR="00D42A1D" w:rsidRPr="00E9501E">
        <w:rPr>
          <w:rFonts w:ascii="Arial" w:hAnsi="Arial" w:cs="Arial"/>
        </w:rPr>
        <w:t>improve health service integration by facilitating cross-organisation networking and collaboration.</w:t>
      </w:r>
    </w:p>
    <w:p w14:paraId="3890A5F3" w14:textId="2A60696E" w:rsidR="00D03F69" w:rsidRPr="00E9501E" w:rsidRDefault="00D03F69" w:rsidP="00030DA8">
      <w:pPr>
        <w:rPr>
          <w:rFonts w:ascii="Arial" w:hAnsi="Arial" w:cs="Arial"/>
        </w:rPr>
      </w:pPr>
      <w:r w:rsidRPr="00E9501E">
        <w:rPr>
          <w:rFonts w:ascii="Arial" w:hAnsi="Arial" w:cs="Arial"/>
        </w:rPr>
        <w:t>In August 2019, a</w:t>
      </w:r>
      <w:r w:rsidR="007F08E3" w:rsidRPr="00E9501E">
        <w:rPr>
          <w:rFonts w:ascii="Arial" w:hAnsi="Arial" w:cs="Arial"/>
        </w:rPr>
        <w:t xml:space="preserve"> </w:t>
      </w:r>
      <w:r w:rsidR="00FC5B4D" w:rsidRPr="00E9501E">
        <w:rPr>
          <w:rFonts w:ascii="Arial" w:hAnsi="Arial" w:cs="Arial"/>
        </w:rPr>
        <w:t xml:space="preserve">Deliberative Forum </w:t>
      </w:r>
      <w:proofErr w:type="gramStart"/>
      <w:r w:rsidR="007F08E3" w:rsidRPr="00E9501E">
        <w:rPr>
          <w:rFonts w:ascii="Arial" w:hAnsi="Arial" w:cs="Arial"/>
        </w:rPr>
        <w:t>was conducted</w:t>
      </w:r>
      <w:proofErr w:type="gramEnd"/>
      <w:r w:rsidR="007F08E3" w:rsidRPr="00E9501E">
        <w:rPr>
          <w:rFonts w:ascii="Arial" w:hAnsi="Arial" w:cs="Arial"/>
        </w:rPr>
        <w:t xml:space="preserve"> </w:t>
      </w:r>
      <w:r w:rsidRPr="00E9501E">
        <w:rPr>
          <w:rFonts w:ascii="Arial" w:hAnsi="Arial" w:cs="Arial"/>
        </w:rPr>
        <w:t xml:space="preserve">to bring academics, community </w:t>
      </w:r>
      <w:r w:rsidR="00D42A1D" w:rsidRPr="00E9501E">
        <w:rPr>
          <w:rFonts w:ascii="Arial" w:hAnsi="Arial" w:cs="Arial"/>
        </w:rPr>
        <w:t>stakeholders</w:t>
      </w:r>
      <w:r w:rsidRPr="00E9501E">
        <w:rPr>
          <w:rFonts w:ascii="Arial" w:hAnsi="Arial" w:cs="Arial"/>
        </w:rPr>
        <w:t xml:space="preserve"> and </w:t>
      </w:r>
      <w:r w:rsidR="00D42A1D" w:rsidRPr="00E9501E">
        <w:rPr>
          <w:rFonts w:ascii="Arial" w:hAnsi="Arial" w:cs="Arial"/>
        </w:rPr>
        <w:t xml:space="preserve">service </w:t>
      </w:r>
      <w:r w:rsidRPr="00E9501E">
        <w:rPr>
          <w:rFonts w:ascii="Arial" w:hAnsi="Arial" w:cs="Arial"/>
        </w:rPr>
        <w:t>organisations together</w:t>
      </w:r>
      <w:r w:rsidR="004E5124">
        <w:rPr>
          <w:rFonts w:ascii="Arial" w:hAnsi="Arial" w:cs="Arial"/>
        </w:rPr>
        <w:t xml:space="preserve"> to identify</w:t>
      </w:r>
      <w:r w:rsidRPr="00E9501E">
        <w:rPr>
          <w:rFonts w:ascii="Arial" w:hAnsi="Arial" w:cs="Arial"/>
        </w:rPr>
        <w:t xml:space="preserve"> </w:t>
      </w:r>
      <w:r w:rsidR="00FC5B4D">
        <w:rPr>
          <w:rFonts w:ascii="Arial" w:hAnsi="Arial" w:cs="Arial"/>
        </w:rPr>
        <w:t>local community</w:t>
      </w:r>
      <w:r w:rsidRPr="00E9501E">
        <w:rPr>
          <w:rFonts w:ascii="Arial" w:hAnsi="Arial" w:cs="Arial"/>
        </w:rPr>
        <w:t xml:space="preserve"> groups </w:t>
      </w:r>
      <w:r w:rsidR="00FC5B4D">
        <w:rPr>
          <w:rFonts w:ascii="Arial" w:hAnsi="Arial" w:cs="Arial"/>
        </w:rPr>
        <w:t>that</w:t>
      </w:r>
      <w:r w:rsidR="00B27DE9" w:rsidRPr="00E9501E">
        <w:rPr>
          <w:rFonts w:ascii="Arial" w:hAnsi="Arial" w:cs="Arial"/>
        </w:rPr>
        <w:t xml:space="preserve"> </w:t>
      </w:r>
      <w:r w:rsidR="004E5124">
        <w:rPr>
          <w:rFonts w:ascii="Arial" w:hAnsi="Arial" w:cs="Arial"/>
        </w:rPr>
        <w:t xml:space="preserve">had </w:t>
      </w:r>
      <w:r w:rsidR="004E5124" w:rsidRPr="004E5124">
        <w:rPr>
          <w:rFonts w:ascii="Arial" w:hAnsi="Arial" w:cs="Arial"/>
        </w:rPr>
        <w:t xml:space="preserve">needs, gaps and barriers </w:t>
      </w:r>
      <w:r w:rsidR="004E5124">
        <w:rPr>
          <w:rFonts w:ascii="Arial" w:hAnsi="Arial" w:cs="Arial"/>
        </w:rPr>
        <w:t xml:space="preserve">in accessing </w:t>
      </w:r>
      <w:r w:rsidR="0051186E">
        <w:rPr>
          <w:rFonts w:ascii="Arial" w:hAnsi="Arial" w:cs="Arial"/>
        </w:rPr>
        <w:t>p</w:t>
      </w:r>
      <w:r w:rsidR="0051186E" w:rsidRPr="00E9501E">
        <w:rPr>
          <w:rFonts w:ascii="Arial" w:hAnsi="Arial" w:cs="Arial"/>
        </w:rPr>
        <w:t>rimary health care</w:t>
      </w:r>
      <w:r w:rsidR="004E5124">
        <w:rPr>
          <w:rFonts w:ascii="Arial" w:hAnsi="Arial" w:cs="Arial"/>
        </w:rPr>
        <w:t xml:space="preserve">. Two Pop-Ups </w:t>
      </w:r>
      <w:proofErr w:type="gramStart"/>
      <w:r w:rsidR="004E5124">
        <w:rPr>
          <w:rFonts w:ascii="Arial" w:hAnsi="Arial" w:cs="Arial"/>
        </w:rPr>
        <w:t>were delivered</w:t>
      </w:r>
      <w:proofErr w:type="gramEnd"/>
      <w:r w:rsidR="004E5124">
        <w:rPr>
          <w:rFonts w:ascii="Arial" w:hAnsi="Arial" w:cs="Arial"/>
        </w:rPr>
        <w:t xml:space="preserve"> to two communities in late </w:t>
      </w:r>
      <w:r w:rsidRPr="00E9501E">
        <w:rPr>
          <w:rFonts w:ascii="Arial" w:hAnsi="Arial" w:cs="Arial"/>
        </w:rPr>
        <w:t xml:space="preserve">2019. </w:t>
      </w:r>
    </w:p>
    <w:p w14:paraId="203B1A85" w14:textId="77777777" w:rsidR="00457C32" w:rsidRPr="00CC74DD" w:rsidRDefault="00457C32" w:rsidP="00192CDF">
      <w:pPr>
        <w:pStyle w:val="Heading3"/>
        <w:jc w:val="both"/>
        <w:rPr>
          <w:rFonts w:ascii="Arial" w:hAnsi="Arial" w:cs="Arial"/>
          <w:b/>
        </w:rPr>
      </w:pPr>
      <w:r w:rsidRPr="00CC74DD">
        <w:rPr>
          <w:rFonts w:ascii="Arial" w:hAnsi="Arial" w:cs="Arial"/>
          <w:b/>
        </w:rPr>
        <w:t xml:space="preserve">Pop-Up 1 </w:t>
      </w:r>
    </w:p>
    <w:p w14:paraId="16751F7C" w14:textId="55CAAAFA" w:rsidR="005A7138" w:rsidRDefault="007F08E3" w:rsidP="00030DA8">
      <w:pPr>
        <w:rPr>
          <w:rFonts w:ascii="Arial" w:hAnsi="Arial" w:cs="Arial"/>
        </w:rPr>
      </w:pPr>
      <w:r w:rsidRPr="00E9501E">
        <w:rPr>
          <w:rFonts w:ascii="Arial" w:hAnsi="Arial" w:cs="Arial"/>
        </w:rPr>
        <w:t xml:space="preserve">The </w:t>
      </w:r>
      <w:r w:rsidR="00F2410D" w:rsidRPr="00E9501E">
        <w:rPr>
          <w:rFonts w:ascii="Arial" w:hAnsi="Arial" w:cs="Arial"/>
        </w:rPr>
        <w:t>first</w:t>
      </w:r>
      <w:r w:rsidRPr="00E9501E">
        <w:rPr>
          <w:rFonts w:ascii="Arial" w:hAnsi="Arial" w:cs="Arial"/>
        </w:rPr>
        <w:t xml:space="preserve"> Pop-up </w:t>
      </w:r>
      <w:proofErr w:type="gramStart"/>
      <w:r w:rsidRPr="00E9501E">
        <w:rPr>
          <w:rFonts w:ascii="Arial" w:hAnsi="Arial" w:cs="Arial"/>
        </w:rPr>
        <w:t>was held</w:t>
      </w:r>
      <w:proofErr w:type="gramEnd"/>
      <w:r w:rsidRPr="00E9501E">
        <w:rPr>
          <w:rFonts w:ascii="Arial" w:hAnsi="Arial" w:cs="Arial"/>
        </w:rPr>
        <w:t xml:space="preserve"> on Thursday 7th November, </w:t>
      </w:r>
      <w:r w:rsidR="00FC5B4D">
        <w:rPr>
          <w:rFonts w:ascii="Arial" w:hAnsi="Arial" w:cs="Arial"/>
        </w:rPr>
        <w:t xml:space="preserve">at the </w:t>
      </w:r>
      <w:r w:rsidR="00FC5B4D" w:rsidRPr="00FC5B4D">
        <w:rPr>
          <w:rFonts w:ascii="Arial" w:hAnsi="Arial" w:cs="Arial"/>
        </w:rPr>
        <w:t>Bayside Community Care</w:t>
      </w:r>
      <w:r w:rsidRPr="00E9501E">
        <w:rPr>
          <w:rFonts w:ascii="Arial" w:hAnsi="Arial" w:cs="Arial"/>
        </w:rPr>
        <w:t xml:space="preserve"> Matt's Place Community Meals Program</w:t>
      </w:r>
      <w:r w:rsidR="00192CDF">
        <w:rPr>
          <w:rFonts w:ascii="Arial" w:hAnsi="Arial" w:cs="Arial"/>
        </w:rPr>
        <w:t xml:space="preserve"> at St Matthew’s Anglican Church, Cheltenham</w:t>
      </w:r>
      <w:r w:rsidRPr="00E9501E">
        <w:rPr>
          <w:rFonts w:ascii="Arial" w:hAnsi="Arial" w:cs="Arial"/>
        </w:rPr>
        <w:t xml:space="preserve">. </w:t>
      </w:r>
      <w:r w:rsidR="00D03F69" w:rsidRPr="00E9501E">
        <w:rPr>
          <w:rFonts w:ascii="Arial" w:hAnsi="Arial" w:cs="Arial"/>
        </w:rPr>
        <w:t xml:space="preserve">Central Bayside Community Health Services </w:t>
      </w:r>
      <w:r w:rsidR="00152E04">
        <w:rPr>
          <w:rFonts w:ascii="Arial" w:hAnsi="Arial" w:cs="Arial"/>
        </w:rPr>
        <w:t>was</w:t>
      </w:r>
      <w:r w:rsidR="00D03F69" w:rsidRPr="00E9501E">
        <w:rPr>
          <w:rFonts w:ascii="Arial" w:hAnsi="Arial" w:cs="Arial"/>
        </w:rPr>
        <w:t xml:space="preserve"> the lead agency in the event’s planning and implementation. </w:t>
      </w:r>
      <w:r w:rsidR="00192CDF">
        <w:rPr>
          <w:rFonts w:ascii="Arial" w:hAnsi="Arial" w:cs="Arial"/>
        </w:rPr>
        <w:t>Many of the a</w:t>
      </w:r>
      <w:r w:rsidR="00D03F69" w:rsidRPr="00E9501E">
        <w:rPr>
          <w:rFonts w:ascii="Arial" w:hAnsi="Arial" w:cs="Arial"/>
        </w:rPr>
        <w:t>ttendee</w:t>
      </w:r>
      <w:r w:rsidR="001E3B79" w:rsidRPr="00E9501E">
        <w:rPr>
          <w:rFonts w:ascii="Arial" w:hAnsi="Arial" w:cs="Arial"/>
        </w:rPr>
        <w:t>s</w:t>
      </w:r>
      <w:r w:rsidR="00D03F69" w:rsidRPr="00E9501E">
        <w:rPr>
          <w:rFonts w:ascii="Arial" w:hAnsi="Arial" w:cs="Arial"/>
        </w:rPr>
        <w:t xml:space="preserve"> of the </w:t>
      </w:r>
      <w:r w:rsidR="00030DA8">
        <w:rPr>
          <w:rFonts w:ascii="Arial" w:hAnsi="Arial" w:cs="Arial"/>
        </w:rPr>
        <w:t>meals</w:t>
      </w:r>
      <w:r w:rsidR="00192CDF">
        <w:rPr>
          <w:rFonts w:ascii="Arial" w:hAnsi="Arial" w:cs="Arial"/>
        </w:rPr>
        <w:t xml:space="preserve"> program</w:t>
      </w:r>
      <w:r w:rsidR="001E3B79" w:rsidRPr="00E9501E">
        <w:rPr>
          <w:rFonts w:ascii="Arial" w:hAnsi="Arial" w:cs="Arial"/>
        </w:rPr>
        <w:t xml:space="preserve"> </w:t>
      </w:r>
      <w:r w:rsidRPr="00E9501E">
        <w:rPr>
          <w:rFonts w:ascii="Arial" w:hAnsi="Arial" w:cs="Arial"/>
        </w:rPr>
        <w:t xml:space="preserve">experience financial hardship, </w:t>
      </w:r>
      <w:r w:rsidR="001E3B79" w:rsidRPr="00E9501E">
        <w:rPr>
          <w:rFonts w:ascii="Arial" w:hAnsi="Arial" w:cs="Arial"/>
        </w:rPr>
        <w:t xml:space="preserve">community isolation, and </w:t>
      </w:r>
      <w:r w:rsidRPr="00E9501E">
        <w:rPr>
          <w:rFonts w:ascii="Arial" w:hAnsi="Arial" w:cs="Arial"/>
        </w:rPr>
        <w:t>barriers in accessing services.</w:t>
      </w:r>
      <w:r w:rsidR="00CC74DD">
        <w:rPr>
          <w:rFonts w:ascii="Arial" w:hAnsi="Arial" w:cs="Arial"/>
        </w:rPr>
        <w:t xml:space="preserve"> </w:t>
      </w:r>
      <w:proofErr w:type="gramStart"/>
      <w:r w:rsidR="005A7138" w:rsidRPr="00E9501E">
        <w:rPr>
          <w:rFonts w:ascii="Arial" w:hAnsi="Arial" w:cs="Arial"/>
        </w:rPr>
        <w:t>The Pop-Up was staffed by service providers from five health and social support organisations</w:t>
      </w:r>
      <w:proofErr w:type="gramEnd"/>
      <w:r w:rsidR="005A7138" w:rsidRPr="00E9501E">
        <w:rPr>
          <w:rFonts w:ascii="Arial" w:hAnsi="Arial" w:cs="Arial"/>
        </w:rPr>
        <w:t xml:space="preserve">. </w:t>
      </w:r>
      <w:r w:rsidR="00192CDF">
        <w:rPr>
          <w:rFonts w:ascii="Arial" w:hAnsi="Arial" w:cs="Arial"/>
        </w:rPr>
        <w:t>Services</w:t>
      </w:r>
      <w:r w:rsidR="005A7138" w:rsidRPr="00E9501E">
        <w:rPr>
          <w:rFonts w:ascii="Arial" w:hAnsi="Arial" w:cs="Arial"/>
        </w:rPr>
        <w:t xml:space="preserve"> provided guests with service details, contact information and made follow-up appointments where appropriate. </w:t>
      </w:r>
    </w:p>
    <w:p w14:paraId="50D8AE2F" w14:textId="2B8AF980" w:rsidR="00FC5B4D" w:rsidRPr="00E9501E" w:rsidRDefault="00FC5B4D" w:rsidP="00030DA8">
      <w:pPr>
        <w:rPr>
          <w:rFonts w:ascii="Arial" w:hAnsi="Arial" w:cs="Arial"/>
          <w:b/>
        </w:rPr>
      </w:pPr>
      <w:r w:rsidRPr="00E9501E">
        <w:rPr>
          <w:rFonts w:ascii="Arial" w:hAnsi="Arial" w:cs="Arial"/>
        </w:rPr>
        <w:t xml:space="preserve">At </w:t>
      </w:r>
      <w:r w:rsidR="00192CDF">
        <w:rPr>
          <w:rFonts w:ascii="Arial" w:hAnsi="Arial" w:cs="Arial"/>
        </w:rPr>
        <w:t>this</w:t>
      </w:r>
      <w:r w:rsidRPr="00E9501E">
        <w:rPr>
          <w:rFonts w:ascii="Arial" w:hAnsi="Arial" w:cs="Arial"/>
        </w:rPr>
        <w:t xml:space="preserve"> Pop-up, </w:t>
      </w:r>
      <w:proofErr w:type="gramStart"/>
      <w:r w:rsidRPr="00E9501E">
        <w:rPr>
          <w:rFonts w:ascii="Arial" w:hAnsi="Arial" w:cs="Arial"/>
        </w:rPr>
        <w:t>5</w:t>
      </w:r>
      <w:proofErr w:type="gramEnd"/>
      <w:r w:rsidRPr="00E9501E">
        <w:rPr>
          <w:rFonts w:ascii="Arial" w:hAnsi="Arial" w:cs="Arial"/>
        </w:rPr>
        <w:t xml:space="preserve"> organisations had 84 interactions with </w:t>
      </w:r>
      <w:r w:rsidR="00D62DAB">
        <w:rPr>
          <w:rFonts w:ascii="Arial" w:hAnsi="Arial" w:cs="Arial"/>
        </w:rPr>
        <w:t>attendees</w:t>
      </w:r>
      <w:r w:rsidRPr="00E9501E">
        <w:rPr>
          <w:rFonts w:ascii="Arial" w:hAnsi="Arial" w:cs="Arial"/>
        </w:rPr>
        <w:t>, providing services related to dental care, mental health, Centrelink services, housing, education and employment.</w:t>
      </w:r>
    </w:p>
    <w:p w14:paraId="6AE1AAEA" w14:textId="77777777" w:rsidR="00FC5B4D" w:rsidRPr="00E9501E" w:rsidRDefault="00FC5B4D" w:rsidP="00E9501E">
      <w:pPr>
        <w:jc w:val="both"/>
        <w:rPr>
          <w:rFonts w:ascii="Arial" w:hAnsi="Arial" w:cs="Arial"/>
        </w:rPr>
      </w:pPr>
    </w:p>
    <w:p w14:paraId="43A5FB37" w14:textId="77777777" w:rsidR="00FC5B4D" w:rsidRDefault="00FC5B4D" w:rsidP="00E9501E">
      <w:pPr>
        <w:jc w:val="both"/>
        <w:rPr>
          <w:rFonts w:ascii="Arial" w:hAnsi="Arial" w:cs="Arial"/>
        </w:rPr>
        <w:sectPr w:rsidR="00FC5B4D" w:rsidSect="0051186E">
          <w:footerReference w:type="default" r:id="rId9"/>
          <w:pgSz w:w="11906" w:h="16838"/>
          <w:pgMar w:top="1276" w:right="1080" w:bottom="709" w:left="1080" w:header="708" w:footer="527" w:gutter="0"/>
          <w:cols w:space="708"/>
          <w:docGrid w:linePitch="360"/>
        </w:sectPr>
      </w:pPr>
    </w:p>
    <w:p w14:paraId="55BB7D34" w14:textId="77777777" w:rsidR="00457C32" w:rsidRPr="00CC74DD" w:rsidRDefault="00457C32" w:rsidP="00192CDF">
      <w:pPr>
        <w:pStyle w:val="Heading3"/>
        <w:jc w:val="both"/>
        <w:rPr>
          <w:rFonts w:ascii="Arial" w:hAnsi="Arial" w:cs="Arial"/>
          <w:b/>
        </w:rPr>
      </w:pPr>
      <w:r w:rsidRPr="00CC74DD">
        <w:rPr>
          <w:rFonts w:ascii="Arial" w:hAnsi="Arial" w:cs="Arial"/>
          <w:b/>
        </w:rPr>
        <w:lastRenderedPageBreak/>
        <w:t xml:space="preserve">Pop-Up 2 </w:t>
      </w:r>
    </w:p>
    <w:p w14:paraId="14BF1633" w14:textId="44FE5D7D" w:rsidR="005A7138" w:rsidRDefault="00F2410D" w:rsidP="00E9501E">
      <w:pPr>
        <w:jc w:val="both"/>
        <w:rPr>
          <w:rFonts w:ascii="Arial" w:hAnsi="Arial" w:cs="Arial"/>
        </w:rPr>
      </w:pPr>
      <w:r w:rsidRPr="00E9501E">
        <w:rPr>
          <w:rFonts w:ascii="Arial" w:hAnsi="Arial" w:cs="Arial"/>
        </w:rPr>
        <w:t xml:space="preserve">The second Pop-Up </w:t>
      </w:r>
      <w:proofErr w:type="gramStart"/>
      <w:r w:rsidRPr="00E9501E">
        <w:rPr>
          <w:rFonts w:ascii="Arial" w:hAnsi="Arial" w:cs="Arial"/>
        </w:rPr>
        <w:t>was held</w:t>
      </w:r>
      <w:proofErr w:type="gramEnd"/>
      <w:r w:rsidRPr="00E9501E">
        <w:rPr>
          <w:rFonts w:ascii="Arial" w:hAnsi="Arial" w:cs="Arial"/>
        </w:rPr>
        <w:t xml:space="preserve"> at the Southern Migrant and Refugee Centre, Dandenong, on Tuesday 10th December. </w:t>
      </w:r>
      <w:r w:rsidR="00953DE8" w:rsidRPr="00E9501E">
        <w:rPr>
          <w:rFonts w:ascii="Arial" w:hAnsi="Arial" w:cs="Arial"/>
        </w:rPr>
        <w:t xml:space="preserve">Enliven </w:t>
      </w:r>
      <w:r w:rsidR="00152E04">
        <w:rPr>
          <w:rFonts w:ascii="Arial" w:hAnsi="Arial" w:cs="Arial"/>
        </w:rPr>
        <w:t>was</w:t>
      </w:r>
      <w:r w:rsidR="00152E04" w:rsidRPr="00E9501E">
        <w:rPr>
          <w:rFonts w:ascii="Arial" w:hAnsi="Arial" w:cs="Arial"/>
        </w:rPr>
        <w:t xml:space="preserve"> the lead agency in the even</w:t>
      </w:r>
      <w:r w:rsidR="00152E04">
        <w:rPr>
          <w:rFonts w:ascii="Arial" w:hAnsi="Arial" w:cs="Arial"/>
        </w:rPr>
        <w:t>t’s planning and implementation</w:t>
      </w:r>
      <w:r w:rsidR="005A7138" w:rsidRPr="00E9501E">
        <w:rPr>
          <w:rFonts w:ascii="Arial" w:hAnsi="Arial" w:cs="Arial"/>
        </w:rPr>
        <w:t>.</w:t>
      </w:r>
      <w:r w:rsidR="00953DE8" w:rsidRPr="00E9501E">
        <w:rPr>
          <w:rFonts w:ascii="Arial" w:hAnsi="Arial" w:cs="Arial"/>
        </w:rPr>
        <w:t xml:space="preserve"> </w:t>
      </w:r>
      <w:r w:rsidR="00192CDF">
        <w:rPr>
          <w:rFonts w:ascii="Arial" w:hAnsi="Arial" w:cs="Arial"/>
        </w:rPr>
        <w:t>Attendees</w:t>
      </w:r>
      <w:r w:rsidRPr="00E9501E">
        <w:rPr>
          <w:rFonts w:ascii="Arial" w:hAnsi="Arial" w:cs="Arial"/>
        </w:rPr>
        <w:t xml:space="preserve"> were the Daughters of Jerusalem, a South Sudanese community </w:t>
      </w:r>
      <w:r w:rsidR="005A7138" w:rsidRPr="00E9501E">
        <w:rPr>
          <w:rFonts w:ascii="Arial" w:hAnsi="Arial" w:cs="Arial"/>
        </w:rPr>
        <w:t>group</w:t>
      </w:r>
      <w:r w:rsidRPr="00E9501E">
        <w:rPr>
          <w:rFonts w:ascii="Arial" w:hAnsi="Arial" w:cs="Arial"/>
        </w:rPr>
        <w:t xml:space="preserve"> that volunteer to provide support and guidance to vulnerable </w:t>
      </w:r>
      <w:r w:rsidR="0057658B">
        <w:rPr>
          <w:rFonts w:ascii="Arial" w:hAnsi="Arial" w:cs="Arial"/>
        </w:rPr>
        <w:t xml:space="preserve">young </w:t>
      </w:r>
      <w:r w:rsidRPr="00E9501E">
        <w:rPr>
          <w:rFonts w:ascii="Arial" w:hAnsi="Arial" w:cs="Arial"/>
        </w:rPr>
        <w:t xml:space="preserve">people within their community. </w:t>
      </w:r>
      <w:r w:rsidR="006C0703" w:rsidRPr="00E9501E">
        <w:rPr>
          <w:rFonts w:ascii="Arial" w:hAnsi="Arial" w:cs="Arial"/>
        </w:rPr>
        <w:t>The Daughters of Jerusalem</w:t>
      </w:r>
      <w:r w:rsidRPr="00E9501E">
        <w:rPr>
          <w:rFonts w:ascii="Arial" w:hAnsi="Arial" w:cs="Arial"/>
        </w:rPr>
        <w:t xml:space="preserve"> and the youth they support </w:t>
      </w:r>
      <w:r w:rsidR="005A7138" w:rsidRPr="00E9501E">
        <w:rPr>
          <w:rFonts w:ascii="Arial" w:hAnsi="Arial" w:cs="Arial"/>
        </w:rPr>
        <w:t>struggle</w:t>
      </w:r>
      <w:r w:rsidRPr="00E9501E">
        <w:rPr>
          <w:rFonts w:ascii="Arial" w:hAnsi="Arial" w:cs="Arial"/>
        </w:rPr>
        <w:t xml:space="preserve"> to make connections with trusted service providers due to language, cultural and other barriers.  </w:t>
      </w:r>
      <w:r w:rsidR="005A7138" w:rsidRPr="00E9501E">
        <w:rPr>
          <w:rFonts w:ascii="Arial" w:hAnsi="Arial" w:cs="Arial"/>
        </w:rPr>
        <w:t xml:space="preserve">To facilitate meaningful interactions, three interpreters were </w:t>
      </w:r>
      <w:r w:rsidR="00192CDF">
        <w:rPr>
          <w:rFonts w:ascii="Arial" w:hAnsi="Arial" w:cs="Arial"/>
        </w:rPr>
        <w:t>utilised during interactions between attendees and service providers</w:t>
      </w:r>
      <w:r w:rsidR="005A7138" w:rsidRPr="00E9501E">
        <w:rPr>
          <w:rFonts w:ascii="Arial" w:hAnsi="Arial" w:cs="Arial"/>
        </w:rPr>
        <w:t xml:space="preserve">. </w:t>
      </w:r>
      <w:r w:rsidR="006C0703" w:rsidRPr="00E9501E">
        <w:rPr>
          <w:rFonts w:ascii="Arial" w:hAnsi="Arial" w:cs="Arial"/>
        </w:rPr>
        <w:t xml:space="preserve">At </w:t>
      </w:r>
      <w:r w:rsidR="00192CDF">
        <w:rPr>
          <w:rFonts w:ascii="Arial" w:hAnsi="Arial" w:cs="Arial"/>
        </w:rPr>
        <w:t>this</w:t>
      </w:r>
      <w:r w:rsidR="005A7138" w:rsidRPr="00E9501E">
        <w:rPr>
          <w:rFonts w:ascii="Arial" w:hAnsi="Arial" w:cs="Arial"/>
        </w:rPr>
        <w:t xml:space="preserve"> Pop-Up, 16</w:t>
      </w:r>
      <w:r w:rsidRPr="00E9501E">
        <w:rPr>
          <w:rFonts w:ascii="Arial" w:hAnsi="Arial" w:cs="Arial"/>
        </w:rPr>
        <w:t xml:space="preserve"> organisations had 91 interactions with </w:t>
      </w:r>
      <w:r w:rsidR="00D62DAB">
        <w:rPr>
          <w:rFonts w:ascii="Arial" w:hAnsi="Arial" w:cs="Arial"/>
        </w:rPr>
        <w:t>attendees</w:t>
      </w:r>
      <w:r w:rsidRPr="00E9501E">
        <w:rPr>
          <w:rFonts w:ascii="Arial" w:hAnsi="Arial" w:cs="Arial"/>
        </w:rPr>
        <w:t xml:space="preserve">, providing services related to dental care, mental health, refugee health, youth support, housing, education and employment. </w:t>
      </w:r>
    </w:p>
    <w:p w14:paraId="01C361FF" w14:textId="77777777" w:rsidR="002518E2" w:rsidRPr="00CC74DD" w:rsidRDefault="002518E2" w:rsidP="00E9501E">
      <w:pPr>
        <w:pStyle w:val="Heading3"/>
        <w:jc w:val="both"/>
        <w:rPr>
          <w:rFonts w:ascii="Arial" w:hAnsi="Arial" w:cs="Arial"/>
          <w:b/>
        </w:rPr>
      </w:pPr>
      <w:r w:rsidRPr="00CC74DD">
        <w:rPr>
          <w:rFonts w:ascii="Arial" w:hAnsi="Arial" w:cs="Arial"/>
          <w:b/>
        </w:rPr>
        <w:t>Project findings</w:t>
      </w:r>
    </w:p>
    <w:p w14:paraId="3F932158" w14:textId="4B685B2C" w:rsidR="002D6A40" w:rsidRPr="00667A8B" w:rsidRDefault="005A7138" w:rsidP="00E9501E">
      <w:pPr>
        <w:jc w:val="both"/>
        <w:rPr>
          <w:rFonts w:ascii="Arial" w:hAnsi="Arial" w:cs="Arial"/>
        </w:rPr>
      </w:pPr>
      <w:r w:rsidRPr="00667A8B">
        <w:rPr>
          <w:rFonts w:ascii="Arial" w:hAnsi="Arial" w:cs="Arial"/>
        </w:rPr>
        <w:t>To</w:t>
      </w:r>
      <w:r w:rsidR="006F18F5" w:rsidRPr="00667A8B">
        <w:rPr>
          <w:rFonts w:ascii="Arial" w:hAnsi="Arial" w:cs="Arial"/>
        </w:rPr>
        <w:t xml:space="preserve"> </w:t>
      </w:r>
      <w:r w:rsidRPr="00667A8B">
        <w:rPr>
          <w:rFonts w:ascii="Arial" w:hAnsi="Arial" w:cs="Arial"/>
        </w:rPr>
        <w:t xml:space="preserve">assess </w:t>
      </w:r>
      <w:r w:rsidR="00B27DE9" w:rsidRPr="00667A8B">
        <w:rPr>
          <w:rFonts w:ascii="Arial" w:hAnsi="Arial" w:cs="Arial"/>
        </w:rPr>
        <w:t>the Pop-Ups,</w:t>
      </w:r>
      <w:r w:rsidRPr="00667A8B">
        <w:rPr>
          <w:rFonts w:ascii="Arial" w:hAnsi="Arial" w:cs="Arial"/>
        </w:rPr>
        <w:t xml:space="preserve"> the research team at</w:t>
      </w:r>
      <w:r w:rsidR="006F18F5" w:rsidRPr="00667A8B">
        <w:rPr>
          <w:rFonts w:ascii="Arial" w:hAnsi="Arial" w:cs="Arial"/>
        </w:rPr>
        <w:t xml:space="preserve"> </w:t>
      </w:r>
      <w:r w:rsidR="008459C0" w:rsidRPr="00667A8B">
        <w:rPr>
          <w:rFonts w:ascii="Arial" w:hAnsi="Arial" w:cs="Arial"/>
        </w:rPr>
        <w:t xml:space="preserve">Monash University </w:t>
      </w:r>
      <w:r w:rsidR="00D42A1D" w:rsidRPr="00667A8B">
        <w:rPr>
          <w:rFonts w:ascii="Arial" w:hAnsi="Arial" w:cs="Arial"/>
        </w:rPr>
        <w:t>conducted</w:t>
      </w:r>
      <w:r w:rsidR="008459C0" w:rsidRPr="00667A8B">
        <w:rPr>
          <w:rFonts w:ascii="Arial" w:hAnsi="Arial" w:cs="Arial"/>
        </w:rPr>
        <w:t xml:space="preserve"> </w:t>
      </w:r>
      <w:r w:rsidR="00152E04" w:rsidRPr="00667A8B">
        <w:rPr>
          <w:rFonts w:ascii="Arial" w:hAnsi="Arial" w:cs="Arial"/>
        </w:rPr>
        <w:t>surveys</w:t>
      </w:r>
      <w:r w:rsidR="00152E04">
        <w:rPr>
          <w:rFonts w:ascii="Arial" w:hAnsi="Arial" w:cs="Arial"/>
        </w:rPr>
        <w:t>,</w:t>
      </w:r>
      <w:r w:rsidR="00152E04" w:rsidRPr="00667A8B">
        <w:rPr>
          <w:rFonts w:ascii="Arial" w:hAnsi="Arial" w:cs="Arial"/>
        </w:rPr>
        <w:t xml:space="preserve"> interviews and </w:t>
      </w:r>
      <w:r w:rsidR="00152E04">
        <w:rPr>
          <w:rFonts w:ascii="Arial" w:hAnsi="Arial" w:cs="Arial"/>
        </w:rPr>
        <w:t>After Action Reviews</w:t>
      </w:r>
      <w:r w:rsidR="008459C0" w:rsidRPr="00667A8B">
        <w:rPr>
          <w:rFonts w:ascii="Arial" w:hAnsi="Arial" w:cs="Arial"/>
        </w:rPr>
        <w:t xml:space="preserve"> </w:t>
      </w:r>
      <w:r w:rsidRPr="00667A8B">
        <w:rPr>
          <w:rFonts w:ascii="Arial" w:hAnsi="Arial" w:cs="Arial"/>
        </w:rPr>
        <w:t xml:space="preserve">with </w:t>
      </w:r>
      <w:r w:rsidR="00152E04">
        <w:rPr>
          <w:rFonts w:ascii="Arial" w:hAnsi="Arial" w:cs="Arial"/>
        </w:rPr>
        <w:t>attendees</w:t>
      </w:r>
      <w:r w:rsidRPr="00667A8B">
        <w:rPr>
          <w:rFonts w:ascii="Arial" w:hAnsi="Arial" w:cs="Arial"/>
        </w:rPr>
        <w:t xml:space="preserve">, </w:t>
      </w:r>
      <w:r w:rsidR="00D62DAB">
        <w:rPr>
          <w:rFonts w:ascii="Arial" w:hAnsi="Arial" w:cs="Arial"/>
        </w:rPr>
        <w:t xml:space="preserve">service </w:t>
      </w:r>
      <w:r w:rsidRPr="00667A8B">
        <w:rPr>
          <w:rFonts w:ascii="Arial" w:hAnsi="Arial" w:cs="Arial"/>
        </w:rPr>
        <w:t xml:space="preserve">providers, managers and </w:t>
      </w:r>
      <w:r w:rsidR="00152E04">
        <w:rPr>
          <w:rFonts w:ascii="Arial" w:hAnsi="Arial" w:cs="Arial"/>
        </w:rPr>
        <w:t>steering group</w:t>
      </w:r>
      <w:r w:rsidRPr="00667A8B">
        <w:rPr>
          <w:rFonts w:ascii="Arial" w:hAnsi="Arial" w:cs="Arial"/>
        </w:rPr>
        <w:t xml:space="preserve"> members.</w:t>
      </w:r>
      <w:r w:rsidR="00D42A1D" w:rsidRPr="00667A8B">
        <w:rPr>
          <w:rFonts w:ascii="Arial" w:hAnsi="Arial" w:cs="Arial"/>
        </w:rPr>
        <w:t xml:space="preserve"> T</w:t>
      </w:r>
      <w:r w:rsidR="00152E04">
        <w:rPr>
          <w:rFonts w:ascii="Arial" w:hAnsi="Arial" w:cs="Arial"/>
        </w:rPr>
        <w:t xml:space="preserve">he results </w:t>
      </w:r>
      <w:proofErr w:type="gramStart"/>
      <w:r w:rsidR="00152E04">
        <w:rPr>
          <w:rFonts w:ascii="Arial" w:hAnsi="Arial" w:cs="Arial"/>
        </w:rPr>
        <w:t>are summarised</w:t>
      </w:r>
      <w:proofErr w:type="gramEnd"/>
      <w:r w:rsidR="00152E04">
        <w:rPr>
          <w:rFonts w:ascii="Arial" w:hAnsi="Arial" w:cs="Arial"/>
        </w:rPr>
        <w:t xml:space="preserve"> below.</w:t>
      </w:r>
      <w:r w:rsidR="00D42A1D" w:rsidRPr="00667A8B">
        <w:rPr>
          <w:rFonts w:ascii="Arial" w:hAnsi="Arial" w:cs="Arial"/>
        </w:rPr>
        <w:t xml:space="preserve"> </w:t>
      </w:r>
    </w:p>
    <w:p w14:paraId="0A72FF2C" w14:textId="243FB6A6" w:rsidR="00863351" w:rsidRDefault="00863351" w:rsidP="0055479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</w:rPr>
      </w:pPr>
      <w:r w:rsidRPr="00554796">
        <w:rPr>
          <w:rFonts w:ascii="Arial" w:hAnsi="Arial" w:cs="Arial"/>
          <w:b/>
        </w:rPr>
        <w:t xml:space="preserve">The Pop-Ups engaged vulnerable </w:t>
      </w:r>
      <w:r w:rsidR="00152E04">
        <w:rPr>
          <w:rFonts w:ascii="Arial" w:hAnsi="Arial" w:cs="Arial"/>
          <w:b/>
        </w:rPr>
        <w:t>people</w:t>
      </w:r>
      <w:r w:rsidRPr="00554796">
        <w:rPr>
          <w:rFonts w:ascii="Arial" w:hAnsi="Arial" w:cs="Arial"/>
          <w:b/>
        </w:rPr>
        <w:t xml:space="preserve"> that are </w:t>
      </w:r>
      <w:r w:rsidR="00420B91">
        <w:rPr>
          <w:rFonts w:ascii="Arial" w:hAnsi="Arial" w:cs="Arial"/>
          <w:b/>
        </w:rPr>
        <w:t>hard</w:t>
      </w:r>
      <w:r w:rsidRPr="00554796">
        <w:rPr>
          <w:rFonts w:ascii="Arial" w:hAnsi="Arial" w:cs="Arial"/>
          <w:b/>
        </w:rPr>
        <w:t xml:space="preserve"> to reach through usual service provision models</w:t>
      </w:r>
    </w:p>
    <w:p w14:paraId="78B3E910" w14:textId="5230AFC8" w:rsidR="00420B91" w:rsidRPr="00420B91" w:rsidRDefault="00420B91" w:rsidP="00420B91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420B91">
        <w:rPr>
          <w:rFonts w:ascii="Arial" w:hAnsi="Arial" w:cs="Arial"/>
        </w:rPr>
        <w:t xml:space="preserve">Only 57% (Pop-Up 1) and 63% (Pop-Up 2) of </w:t>
      </w:r>
      <w:r w:rsidR="00152E04">
        <w:rPr>
          <w:rFonts w:ascii="Arial" w:hAnsi="Arial" w:cs="Arial"/>
        </w:rPr>
        <w:t>attendees</w:t>
      </w:r>
      <w:r w:rsidRPr="00420B91">
        <w:rPr>
          <w:rFonts w:ascii="Arial" w:hAnsi="Arial" w:cs="Arial"/>
        </w:rPr>
        <w:t xml:space="preserve"> had a specific health professional mainly responsible for their health care</w:t>
      </w:r>
      <w:r w:rsidR="00152E04">
        <w:rPr>
          <w:rFonts w:ascii="Arial" w:hAnsi="Arial" w:cs="Arial"/>
        </w:rPr>
        <w:t>.</w:t>
      </w:r>
    </w:p>
    <w:p w14:paraId="2900FFDA" w14:textId="30D47FDF" w:rsidR="0012619B" w:rsidRDefault="0012619B" w:rsidP="0012619B">
      <w:pPr>
        <w:pStyle w:val="ListParagraph"/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71% </w:t>
      </w:r>
      <w:r w:rsidRPr="0012619B">
        <w:rPr>
          <w:rFonts w:ascii="Arial" w:hAnsi="Arial" w:cs="Arial"/>
        </w:rPr>
        <w:t>(Pop-Up 1)</w:t>
      </w:r>
      <w:r>
        <w:rPr>
          <w:rFonts w:ascii="Arial" w:hAnsi="Arial" w:cs="Arial"/>
        </w:rPr>
        <w:t xml:space="preserve"> and 50% </w:t>
      </w:r>
      <w:r w:rsidRPr="0012619B">
        <w:rPr>
          <w:rFonts w:ascii="Arial" w:hAnsi="Arial" w:cs="Arial"/>
        </w:rPr>
        <w:t xml:space="preserve">(Pop-Up 2) of </w:t>
      </w:r>
      <w:r w:rsidR="00152E04">
        <w:rPr>
          <w:rFonts w:ascii="Arial" w:hAnsi="Arial" w:cs="Arial"/>
        </w:rPr>
        <w:t>attendees</w:t>
      </w:r>
      <w:r w:rsidR="00152E04" w:rsidRPr="00420B91">
        <w:rPr>
          <w:rFonts w:ascii="Arial" w:hAnsi="Arial" w:cs="Arial"/>
        </w:rPr>
        <w:t xml:space="preserve"> </w:t>
      </w:r>
      <w:r w:rsidRPr="0012619B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two or more chronic diseases</w:t>
      </w:r>
      <w:r w:rsidR="00152E04">
        <w:rPr>
          <w:rFonts w:ascii="Arial" w:hAnsi="Arial" w:cs="Arial"/>
        </w:rPr>
        <w:t>.</w:t>
      </w:r>
    </w:p>
    <w:p w14:paraId="26641D8C" w14:textId="6690C431" w:rsidR="00526F19" w:rsidRDefault="00526F19" w:rsidP="00526F19">
      <w:pPr>
        <w:pStyle w:val="ListParagraph"/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Half of the </w:t>
      </w:r>
      <w:r w:rsidR="00152E04">
        <w:rPr>
          <w:rFonts w:ascii="Arial" w:hAnsi="Arial" w:cs="Arial"/>
        </w:rPr>
        <w:t>attendees</w:t>
      </w:r>
      <w:r w:rsidR="00152E04" w:rsidRPr="00420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each Pop-Up </w:t>
      </w:r>
      <w:r w:rsidRPr="00526F19">
        <w:rPr>
          <w:rFonts w:ascii="Arial" w:hAnsi="Arial" w:cs="Arial"/>
        </w:rPr>
        <w:t>felt</w:t>
      </w:r>
      <w:r>
        <w:rPr>
          <w:rFonts w:ascii="Arial" w:hAnsi="Arial" w:cs="Arial"/>
        </w:rPr>
        <w:t xml:space="preserve"> their financial situation was ‘tight or ‘</w:t>
      </w:r>
      <w:r w:rsidRPr="00526F19">
        <w:rPr>
          <w:rFonts w:ascii="Arial" w:hAnsi="Arial" w:cs="Arial"/>
        </w:rPr>
        <w:t>very tight’</w:t>
      </w:r>
      <w:r w:rsidR="00CC74DD">
        <w:rPr>
          <w:rFonts w:ascii="Arial" w:hAnsi="Arial" w:cs="Arial"/>
        </w:rPr>
        <w:t>.</w:t>
      </w:r>
    </w:p>
    <w:p w14:paraId="69CE450B" w14:textId="77777777" w:rsidR="00420B91" w:rsidRPr="00420B91" w:rsidRDefault="00420B91" w:rsidP="00420B91">
      <w:pPr>
        <w:pStyle w:val="ListParagraph"/>
        <w:ind w:left="1440"/>
        <w:rPr>
          <w:rFonts w:ascii="Arial" w:hAnsi="Arial" w:cs="Arial"/>
        </w:rPr>
      </w:pPr>
    </w:p>
    <w:p w14:paraId="293BB840" w14:textId="635CB3A6" w:rsidR="00E9501E" w:rsidRPr="00554796" w:rsidRDefault="002D6A40" w:rsidP="0055479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</w:rPr>
      </w:pPr>
      <w:r w:rsidRPr="00554796">
        <w:rPr>
          <w:rFonts w:ascii="Arial" w:hAnsi="Arial" w:cs="Arial"/>
          <w:b/>
        </w:rPr>
        <w:t xml:space="preserve">Key </w:t>
      </w:r>
      <w:r w:rsidR="00526F19">
        <w:rPr>
          <w:rFonts w:ascii="Arial" w:hAnsi="Arial" w:cs="Arial"/>
          <w:b/>
        </w:rPr>
        <w:t>strengths of the Pop-Up model</w:t>
      </w:r>
      <w:r w:rsidR="0012619B">
        <w:rPr>
          <w:rFonts w:ascii="Arial" w:hAnsi="Arial" w:cs="Arial"/>
          <w:b/>
        </w:rPr>
        <w:t xml:space="preserve"> were its </w:t>
      </w:r>
      <w:r w:rsidR="00152E04">
        <w:rPr>
          <w:rFonts w:ascii="Arial" w:hAnsi="Arial" w:cs="Arial"/>
          <w:b/>
        </w:rPr>
        <w:t>person</w:t>
      </w:r>
      <w:r w:rsidR="0012619B">
        <w:rPr>
          <w:rFonts w:ascii="Arial" w:hAnsi="Arial" w:cs="Arial"/>
          <w:b/>
        </w:rPr>
        <w:t xml:space="preserve">-centeredness, </w:t>
      </w:r>
      <w:r w:rsidRPr="00554796">
        <w:rPr>
          <w:rFonts w:ascii="Arial" w:hAnsi="Arial" w:cs="Arial"/>
          <w:b/>
        </w:rPr>
        <w:t xml:space="preserve">assertive outreach </w:t>
      </w:r>
      <w:r w:rsidR="00B27DE9" w:rsidRPr="00554796">
        <w:rPr>
          <w:rFonts w:ascii="Arial" w:hAnsi="Arial" w:cs="Arial"/>
          <w:b/>
        </w:rPr>
        <w:t>approach</w:t>
      </w:r>
      <w:r w:rsidR="0012619B">
        <w:rPr>
          <w:rFonts w:ascii="Arial" w:hAnsi="Arial" w:cs="Arial"/>
          <w:b/>
        </w:rPr>
        <w:t xml:space="preserve">, and face-to-face engagement  </w:t>
      </w:r>
    </w:p>
    <w:p w14:paraId="73182F63" w14:textId="6DD7C653" w:rsidR="00E9501E" w:rsidRPr="00667A8B" w:rsidRDefault="002D6A40" w:rsidP="00D62DA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b/>
          <w:sz w:val="24"/>
        </w:rPr>
      </w:pPr>
      <w:r w:rsidRPr="00667A8B">
        <w:rPr>
          <w:rFonts w:ascii="Arial" w:hAnsi="Arial" w:cs="Arial"/>
        </w:rPr>
        <w:t xml:space="preserve">The Pop-Ups were </w:t>
      </w:r>
      <w:r w:rsidR="00152E04">
        <w:rPr>
          <w:rFonts w:ascii="Arial" w:hAnsi="Arial" w:cs="Arial"/>
        </w:rPr>
        <w:t>person</w:t>
      </w:r>
      <w:r w:rsidRPr="00667A8B">
        <w:rPr>
          <w:rFonts w:ascii="Arial" w:hAnsi="Arial" w:cs="Arial"/>
        </w:rPr>
        <w:t xml:space="preserve">-centred with a heightened focus on addressing individuals’ needs. This </w:t>
      </w:r>
      <w:proofErr w:type="gramStart"/>
      <w:r w:rsidRPr="00667A8B">
        <w:rPr>
          <w:rFonts w:ascii="Arial" w:hAnsi="Arial" w:cs="Arial"/>
        </w:rPr>
        <w:t>was enhanced</w:t>
      </w:r>
      <w:proofErr w:type="gramEnd"/>
      <w:r w:rsidRPr="00667A8B">
        <w:rPr>
          <w:rFonts w:ascii="Arial" w:hAnsi="Arial" w:cs="Arial"/>
        </w:rPr>
        <w:t xml:space="preserve"> by being able to directly introduce </w:t>
      </w:r>
      <w:r w:rsidR="00152E04">
        <w:rPr>
          <w:rFonts w:ascii="Arial" w:hAnsi="Arial" w:cs="Arial"/>
        </w:rPr>
        <w:t>attendees</w:t>
      </w:r>
      <w:r w:rsidR="00152E04" w:rsidRPr="00420B91">
        <w:rPr>
          <w:rFonts w:ascii="Arial" w:hAnsi="Arial" w:cs="Arial"/>
        </w:rPr>
        <w:t xml:space="preserve"> </w:t>
      </w:r>
      <w:r w:rsidRPr="00667A8B">
        <w:rPr>
          <w:rFonts w:ascii="Arial" w:hAnsi="Arial" w:cs="Arial"/>
        </w:rPr>
        <w:t>to ap</w:t>
      </w:r>
      <w:r w:rsidR="0012619B">
        <w:rPr>
          <w:rFonts w:ascii="Arial" w:hAnsi="Arial" w:cs="Arial"/>
        </w:rPr>
        <w:t>propriate service</w:t>
      </w:r>
      <w:r w:rsidR="00D62DAB">
        <w:rPr>
          <w:rFonts w:ascii="Arial" w:hAnsi="Arial" w:cs="Arial"/>
        </w:rPr>
        <w:t>s</w:t>
      </w:r>
      <w:r w:rsidR="0012619B">
        <w:rPr>
          <w:rFonts w:ascii="Arial" w:hAnsi="Arial" w:cs="Arial"/>
        </w:rPr>
        <w:t xml:space="preserve"> during the Pop-Up</w:t>
      </w:r>
      <w:r w:rsidRPr="00667A8B">
        <w:rPr>
          <w:rFonts w:ascii="Arial" w:hAnsi="Arial" w:cs="Arial"/>
        </w:rPr>
        <w:t xml:space="preserve">. </w:t>
      </w:r>
    </w:p>
    <w:p w14:paraId="01DED564" w14:textId="4EEA1FDF" w:rsidR="002D6A40" w:rsidRPr="0012619B" w:rsidRDefault="002D6A40" w:rsidP="00D62DA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b/>
          <w:sz w:val="24"/>
        </w:rPr>
      </w:pPr>
      <w:r w:rsidRPr="00667A8B">
        <w:rPr>
          <w:rFonts w:ascii="Arial" w:hAnsi="Arial" w:cs="Arial"/>
        </w:rPr>
        <w:t xml:space="preserve">The assertive outreach </w:t>
      </w:r>
      <w:r w:rsidR="0012619B">
        <w:rPr>
          <w:rFonts w:ascii="Arial" w:hAnsi="Arial" w:cs="Arial"/>
        </w:rPr>
        <w:t xml:space="preserve">approach </w:t>
      </w:r>
      <w:r w:rsidRPr="00667A8B">
        <w:rPr>
          <w:rFonts w:ascii="Arial" w:hAnsi="Arial" w:cs="Arial"/>
        </w:rPr>
        <w:t xml:space="preserve">brought providers to the </w:t>
      </w:r>
      <w:r w:rsidR="00152E04">
        <w:rPr>
          <w:rFonts w:ascii="Arial" w:hAnsi="Arial" w:cs="Arial"/>
        </w:rPr>
        <w:t>attendees</w:t>
      </w:r>
      <w:r w:rsidRPr="00667A8B">
        <w:rPr>
          <w:rFonts w:ascii="Arial" w:hAnsi="Arial" w:cs="Arial"/>
        </w:rPr>
        <w:t>, facilitating opportunistic engagement in a familiar, s</w:t>
      </w:r>
      <w:r w:rsidR="0012619B">
        <w:rPr>
          <w:rFonts w:ascii="Arial" w:hAnsi="Arial" w:cs="Arial"/>
        </w:rPr>
        <w:t xml:space="preserve">afe and accessible environment. </w:t>
      </w:r>
      <w:r w:rsidRPr="00667A8B">
        <w:rPr>
          <w:rFonts w:ascii="Arial" w:hAnsi="Arial" w:cs="Arial"/>
        </w:rPr>
        <w:t>Bringing all the providers to one location also centralised an otherwise complex network of services.</w:t>
      </w:r>
    </w:p>
    <w:p w14:paraId="5CAD0A82" w14:textId="45B086AC" w:rsidR="0012619B" w:rsidRPr="0012619B" w:rsidRDefault="0012619B" w:rsidP="00D62DA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The Pop-Up provided face-to-face contact between </w:t>
      </w:r>
      <w:r w:rsidR="00152E04">
        <w:rPr>
          <w:rFonts w:ascii="Arial" w:hAnsi="Arial" w:cs="Arial"/>
        </w:rPr>
        <w:t>attendees</w:t>
      </w:r>
      <w:r w:rsidR="00152E04" w:rsidRPr="00420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providers in a relaxed and informal environment. Providers felt t</w:t>
      </w:r>
      <w:r w:rsidR="00420B91">
        <w:rPr>
          <w:rFonts w:ascii="Arial" w:hAnsi="Arial" w:cs="Arial"/>
        </w:rPr>
        <w:t xml:space="preserve">hat this built trust and </w:t>
      </w:r>
      <w:r w:rsidR="00D62DAB">
        <w:rPr>
          <w:rFonts w:ascii="Arial" w:hAnsi="Arial" w:cs="Arial"/>
        </w:rPr>
        <w:t>encouraged open</w:t>
      </w:r>
      <w:r>
        <w:rPr>
          <w:rFonts w:ascii="Arial" w:hAnsi="Arial" w:cs="Arial"/>
        </w:rPr>
        <w:t xml:space="preserve"> conversations.</w:t>
      </w:r>
    </w:p>
    <w:p w14:paraId="75790B5F" w14:textId="77777777" w:rsidR="0012619B" w:rsidRPr="00667A8B" w:rsidRDefault="0012619B" w:rsidP="0012619B">
      <w:pPr>
        <w:pStyle w:val="ListParagraph"/>
        <w:spacing w:line="276" w:lineRule="auto"/>
        <w:ind w:left="1440"/>
        <w:jc w:val="both"/>
        <w:rPr>
          <w:rFonts w:ascii="Arial" w:hAnsi="Arial" w:cs="Arial"/>
          <w:b/>
          <w:sz w:val="24"/>
        </w:rPr>
      </w:pPr>
    </w:p>
    <w:p w14:paraId="3FB62CCE" w14:textId="5FC5DF36" w:rsidR="008651F0" w:rsidRDefault="0012619B" w:rsidP="0055479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Attending the</w:t>
      </w:r>
      <w:r w:rsidR="008651F0" w:rsidRPr="00667A8B">
        <w:rPr>
          <w:rFonts w:ascii="Arial" w:hAnsi="Arial" w:cs="Arial"/>
          <w:b/>
        </w:rPr>
        <w:t xml:space="preserve"> Pop-Ups </w:t>
      </w:r>
      <w:r w:rsidR="00554796">
        <w:rPr>
          <w:rFonts w:ascii="Arial" w:hAnsi="Arial" w:cs="Arial"/>
          <w:b/>
        </w:rPr>
        <w:t xml:space="preserve">improved </w:t>
      </w:r>
      <w:r w:rsidR="00D62DAB">
        <w:rPr>
          <w:rFonts w:ascii="Arial" w:hAnsi="Arial" w:cs="Arial"/>
          <w:b/>
        </w:rPr>
        <w:t xml:space="preserve">service </w:t>
      </w:r>
      <w:r w:rsidR="00554796">
        <w:rPr>
          <w:rFonts w:ascii="Arial" w:hAnsi="Arial" w:cs="Arial"/>
          <w:b/>
        </w:rPr>
        <w:t xml:space="preserve">provider understanding of the </w:t>
      </w:r>
      <w:r w:rsidR="00152E04">
        <w:rPr>
          <w:rFonts w:ascii="Arial" w:hAnsi="Arial" w:cs="Arial"/>
          <w:b/>
        </w:rPr>
        <w:t>primary health care</w:t>
      </w:r>
      <w:r w:rsidR="00554796">
        <w:rPr>
          <w:rFonts w:ascii="Arial" w:hAnsi="Arial" w:cs="Arial"/>
          <w:b/>
        </w:rPr>
        <w:t xml:space="preserve"> system, referral processes, and facilitated</w:t>
      </w:r>
      <w:r w:rsidR="008651F0" w:rsidRPr="00667A8B">
        <w:rPr>
          <w:rFonts w:ascii="Arial" w:hAnsi="Arial" w:cs="Arial"/>
          <w:b/>
        </w:rPr>
        <w:t xml:space="preserve"> cross-organisational networking and collaboration</w:t>
      </w:r>
    </w:p>
    <w:p w14:paraId="4AE1A6E3" w14:textId="6D00C920" w:rsidR="00554796" w:rsidRPr="00554796" w:rsidRDefault="00554796" w:rsidP="00D62DA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92</w:t>
      </w:r>
      <w:r w:rsidRPr="00554796">
        <w:rPr>
          <w:rFonts w:ascii="Arial" w:hAnsi="Arial" w:cs="Arial"/>
        </w:rPr>
        <w:t>%</w:t>
      </w:r>
      <w:proofErr w:type="gramEnd"/>
      <w:r w:rsidRPr="00554796">
        <w:rPr>
          <w:rFonts w:ascii="Arial" w:hAnsi="Arial" w:cs="Arial"/>
        </w:rPr>
        <w:t xml:space="preserve"> of surveyed managers </w:t>
      </w:r>
      <w:r>
        <w:rPr>
          <w:rFonts w:ascii="Arial" w:hAnsi="Arial" w:cs="Arial"/>
        </w:rPr>
        <w:t>said</w:t>
      </w:r>
      <w:r w:rsidR="00152E04">
        <w:rPr>
          <w:rFonts w:ascii="Arial" w:hAnsi="Arial" w:cs="Arial"/>
        </w:rPr>
        <w:t xml:space="preserve"> that the Pop-Up improved s</w:t>
      </w:r>
      <w:r w:rsidRPr="00554796">
        <w:rPr>
          <w:rFonts w:ascii="Arial" w:hAnsi="Arial" w:cs="Arial"/>
        </w:rPr>
        <w:t>taff understanding of the local primary health</w:t>
      </w:r>
      <w:r w:rsidR="00152E04">
        <w:rPr>
          <w:rFonts w:ascii="Arial" w:hAnsi="Arial" w:cs="Arial"/>
        </w:rPr>
        <w:t xml:space="preserve"> </w:t>
      </w:r>
      <w:r w:rsidRPr="00554796">
        <w:rPr>
          <w:rFonts w:ascii="Arial" w:hAnsi="Arial" w:cs="Arial"/>
        </w:rPr>
        <w:t>care system</w:t>
      </w:r>
      <w:r w:rsidR="00152E04">
        <w:rPr>
          <w:rFonts w:ascii="Arial" w:hAnsi="Arial" w:cs="Arial"/>
        </w:rPr>
        <w:t>.</w:t>
      </w:r>
    </w:p>
    <w:p w14:paraId="4DCC3A51" w14:textId="7F5E0B4C" w:rsidR="00554796" w:rsidRDefault="00554796" w:rsidP="00D62DA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77</w:t>
      </w:r>
      <w:r w:rsidRPr="00554796">
        <w:rPr>
          <w:rFonts w:ascii="Arial" w:hAnsi="Arial" w:cs="Arial"/>
        </w:rPr>
        <w:t>%</w:t>
      </w:r>
      <w:proofErr w:type="gramEnd"/>
      <w:r w:rsidRPr="00554796">
        <w:rPr>
          <w:rFonts w:ascii="Arial" w:hAnsi="Arial" w:cs="Arial"/>
        </w:rPr>
        <w:t xml:space="preserve"> of surveyed managers </w:t>
      </w:r>
      <w:r>
        <w:rPr>
          <w:rFonts w:ascii="Arial" w:hAnsi="Arial" w:cs="Arial"/>
        </w:rPr>
        <w:t>said</w:t>
      </w:r>
      <w:r w:rsidR="00152E04">
        <w:rPr>
          <w:rFonts w:ascii="Arial" w:hAnsi="Arial" w:cs="Arial"/>
        </w:rPr>
        <w:t xml:space="preserve"> that </w:t>
      </w:r>
      <w:r w:rsidR="0057658B">
        <w:rPr>
          <w:rFonts w:ascii="Arial" w:hAnsi="Arial" w:cs="Arial"/>
        </w:rPr>
        <w:t xml:space="preserve">the Pop-Up improved </w:t>
      </w:r>
      <w:r w:rsidR="00152E04">
        <w:rPr>
          <w:rFonts w:ascii="Arial" w:hAnsi="Arial" w:cs="Arial"/>
        </w:rPr>
        <w:t>s</w:t>
      </w:r>
      <w:r w:rsidRPr="00554796">
        <w:rPr>
          <w:rFonts w:ascii="Arial" w:hAnsi="Arial" w:cs="Arial"/>
        </w:rPr>
        <w:t xml:space="preserve">taff understanding of intake, assessment and referral processes of other </w:t>
      </w:r>
      <w:r w:rsidR="0012619B">
        <w:rPr>
          <w:rFonts w:ascii="Arial" w:hAnsi="Arial" w:cs="Arial"/>
        </w:rPr>
        <w:t>service providers</w:t>
      </w:r>
      <w:r w:rsidR="00152E04">
        <w:rPr>
          <w:rFonts w:ascii="Arial" w:hAnsi="Arial" w:cs="Arial"/>
        </w:rPr>
        <w:t>.</w:t>
      </w:r>
    </w:p>
    <w:p w14:paraId="2EE605D3" w14:textId="21D65CA2" w:rsidR="0012619B" w:rsidRDefault="0012619B" w:rsidP="00D62DAB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proofErr w:type="gramStart"/>
      <w:r w:rsidRPr="0012619B">
        <w:rPr>
          <w:rFonts w:ascii="Arial" w:hAnsi="Arial" w:cs="Arial"/>
        </w:rPr>
        <w:t>85%</w:t>
      </w:r>
      <w:proofErr w:type="gramEnd"/>
      <w:r w:rsidRPr="0012619B">
        <w:rPr>
          <w:rFonts w:ascii="Arial" w:hAnsi="Arial" w:cs="Arial"/>
        </w:rPr>
        <w:t xml:space="preserve"> of surveyed managers said that the Pop-Up improved the quality of working relationships between service providers, including t</w:t>
      </w:r>
      <w:r w:rsidR="00152E04">
        <w:rPr>
          <w:rFonts w:ascii="Arial" w:hAnsi="Arial" w:cs="Arial"/>
        </w:rPr>
        <w:t>he ability to sort out problems.</w:t>
      </w:r>
    </w:p>
    <w:p w14:paraId="497A45AB" w14:textId="77777777" w:rsidR="0012619B" w:rsidRPr="0012619B" w:rsidRDefault="0012619B" w:rsidP="0012619B">
      <w:pPr>
        <w:pStyle w:val="ListParagraph"/>
        <w:ind w:left="1440"/>
        <w:rPr>
          <w:rFonts w:ascii="Arial" w:hAnsi="Arial" w:cs="Arial"/>
        </w:rPr>
      </w:pPr>
    </w:p>
    <w:p w14:paraId="72CF9F0A" w14:textId="38DE33E3" w:rsidR="00E9501E" w:rsidRPr="00667A8B" w:rsidRDefault="00984E6B" w:rsidP="0055479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The Pop-Ups improved</w:t>
      </w:r>
      <w:r w:rsidR="00863351" w:rsidRPr="00667A8B">
        <w:rPr>
          <w:rFonts w:ascii="Arial" w:hAnsi="Arial" w:cs="Arial"/>
          <w:b/>
        </w:rPr>
        <w:t xml:space="preserve"> </w:t>
      </w:r>
      <w:r w:rsidR="00152E04">
        <w:rPr>
          <w:rFonts w:ascii="Arial" w:hAnsi="Arial" w:cs="Arial"/>
          <w:b/>
        </w:rPr>
        <w:t>attendee</w:t>
      </w:r>
      <w:r w:rsidR="00863351" w:rsidRPr="00667A8B">
        <w:rPr>
          <w:rFonts w:ascii="Arial" w:hAnsi="Arial" w:cs="Arial"/>
          <w:b/>
        </w:rPr>
        <w:t xml:space="preserve"> knowledge of services</w:t>
      </w:r>
    </w:p>
    <w:p w14:paraId="22152E62" w14:textId="54ED8E69" w:rsidR="0012619B" w:rsidRDefault="00D62DAB" w:rsidP="00D62DA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Pop-Up a</w:t>
      </w:r>
      <w:r w:rsidR="00152E04">
        <w:rPr>
          <w:rFonts w:ascii="Arial" w:hAnsi="Arial" w:cs="Arial"/>
        </w:rPr>
        <w:t>ttendees</w:t>
      </w:r>
      <w:r w:rsidR="00152E04" w:rsidRPr="00420B91">
        <w:rPr>
          <w:rFonts w:ascii="Arial" w:hAnsi="Arial" w:cs="Arial"/>
        </w:rPr>
        <w:t xml:space="preserve"> </w:t>
      </w:r>
      <w:r w:rsidR="00863351" w:rsidRPr="00C607A4">
        <w:rPr>
          <w:rFonts w:ascii="Arial" w:hAnsi="Arial" w:cs="Arial"/>
        </w:rPr>
        <w:t>reported improved knowledge of the services available to them and a better understanding of how to access them.</w:t>
      </w:r>
    </w:p>
    <w:p w14:paraId="3D76D87D" w14:textId="592E1D93" w:rsidR="00F562C1" w:rsidRDefault="00F562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5C0635" w14:textId="77777777" w:rsidR="003A66F9" w:rsidRPr="00667A8B" w:rsidRDefault="008651F0" w:rsidP="0055479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</w:rPr>
      </w:pPr>
      <w:r w:rsidRPr="00667A8B">
        <w:rPr>
          <w:rFonts w:ascii="Arial" w:hAnsi="Arial" w:cs="Arial"/>
          <w:b/>
        </w:rPr>
        <w:lastRenderedPageBreak/>
        <w:t>The Pop-Ups have</w:t>
      </w:r>
      <w:r w:rsidR="00B27DE9" w:rsidRPr="00667A8B">
        <w:rPr>
          <w:rFonts w:ascii="Arial" w:hAnsi="Arial" w:cs="Arial"/>
          <w:b/>
        </w:rPr>
        <w:t xml:space="preserve"> made steps towards</w:t>
      </w:r>
      <w:r w:rsidRPr="00667A8B">
        <w:rPr>
          <w:rFonts w:ascii="Arial" w:hAnsi="Arial" w:cs="Arial"/>
          <w:b/>
        </w:rPr>
        <w:t xml:space="preserve"> </w:t>
      </w:r>
      <w:r w:rsidR="00526F19">
        <w:rPr>
          <w:rFonts w:ascii="Arial" w:hAnsi="Arial" w:cs="Arial"/>
          <w:b/>
        </w:rPr>
        <w:t>improving</w:t>
      </w:r>
      <w:r w:rsidRPr="00667A8B">
        <w:rPr>
          <w:rFonts w:ascii="Arial" w:hAnsi="Arial" w:cs="Arial"/>
          <w:b/>
        </w:rPr>
        <w:t xml:space="preserve"> access to primary</w:t>
      </w:r>
      <w:r w:rsidR="00984E6B">
        <w:rPr>
          <w:rFonts w:ascii="Arial" w:hAnsi="Arial" w:cs="Arial"/>
          <w:b/>
        </w:rPr>
        <w:t xml:space="preserve"> health</w:t>
      </w:r>
      <w:r w:rsidRPr="00667A8B">
        <w:rPr>
          <w:rFonts w:ascii="Arial" w:hAnsi="Arial" w:cs="Arial"/>
          <w:b/>
        </w:rPr>
        <w:t xml:space="preserve"> care </w:t>
      </w:r>
    </w:p>
    <w:p w14:paraId="4C66EE14" w14:textId="65BA7FB7" w:rsidR="00863351" w:rsidRPr="00667A8B" w:rsidRDefault="0057658B" w:rsidP="00D62DA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Several</w:t>
      </w:r>
      <w:r w:rsidR="00863351" w:rsidRPr="00667A8B">
        <w:rPr>
          <w:rFonts w:ascii="Arial" w:hAnsi="Arial" w:cs="Arial"/>
        </w:rPr>
        <w:t xml:space="preserve"> </w:t>
      </w:r>
      <w:r w:rsidR="00F562C1">
        <w:rPr>
          <w:rFonts w:ascii="Arial" w:hAnsi="Arial" w:cs="Arial"/>
        </w:rPr>
        <w:t>attendees</w:t>
      </w:r>
      <w:r w:rsidR="00F562C1" w:rsidRPr="00420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the Pop-Ups</w:t>
      </w:r>
      <w:r w:rsidR="00863351" w:rsidRPr="00667A8B">
        <w:rPr>
          <w:rFonts w:ascii="Arial" w:hAnsi="Arial" w:cs="Arial"/>
        </w:rPr>
        <w:t xml:space="preserve"> received dental care 3-months post-Pop-Up</w:t>
      </w:r>
      <w:r w:rsidR="00F562C1">
        <w:rPr>
          <w:rFonts w:ascii="Arial" w:hAnsi="Arial" w:cs="Arial"/>
        </w:rPr>
        <w:t>.</w:t>
      </w:r>
    </w:p>
    <w:p w14:paraId="23C85267" w14:textId="5B657DBC" w:rsidR="00863351" w:rsidRPr="00667A8B" w:rsidRDefault="0012619B" w:rsidP="00D62DA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 small number of</w:t>
      </w:r>
      <w:r w:rsidR="00863351" w:rsidRPr="00667A8B">
        <w:rPr>
          <w:rFonts w:ascii="Arial" w:hAnsi="Arial" w:cs="Arial"/>
        </w:rPr>
        <w:t xml:space="preserve"> </w:t>
      </w:r>
      <w:r w:rsidR="00F562C1">
        <w:rPr>
          <w:rFonts w:ascii="Arial" w:hAnsi="Arial" w:cs="Arial"/>
        </w:rPr>
        <w:t>attendees</w:t>
      </w:r>
      <w:r w:rsidR="00F562C1" w:rsidRPr="00420B91">
        <w:rPr>
          <w:rFonts w:ascii="Arial" w:hAnsi="Arial" w:cs="Arial"/>
        </w:rPr>
        <w:t xml:space="preserve"> </w:t>
      </w:r>
      <w:proofErr w:type="gramStart"/>
      <w:r w:rsidR="0057658B">
        <w:rPr>
          <w:rFonts w:ascii="Arial" w:hAnsi="Arial" w:cs="Arial"/>
        </w:rPr>
        <w:t>were</w:t>
      </w:r>
      <w:r w:rsidR="00863351" w:rsidRPr="00667A8B">
        <w:rPr>
          <w:rFonts w:ascii="Arial" w:hAnsi="Arial" w:cs="Arial"/>
        </w:rPr>
        <w:t xml:space="preserve"> provided</w:t>
      </w:r>
      <w:proofErr w:type="gramEnd"/>
      <w:r w:rsidR="00863351" w:rsidRPr="00667A8B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employment</w:t>
      </w:r>
      <w:r w:rsidR="00863351" w:rsidRPr="00667A8B">
        <w:rPr>
          <w:rFonts w:ascii="Arial" w:hAnsi="Arial" w:cs="Arial"/>
        </w:rPr>
        <w:t xml:space="preserve"> and accommodation</w:t>
      </w:r>
      <w:r w:rsidR="00F562C1">
        <w:rPr>
          <w:rFonts w:ascii="Arial" w:hAnsi="Arial" w:cs="Arial"/>
        </w:rPr>
        <w:t>.</w:t>
      </w:r>
      <w:r w:rsidR="00863351" w:rsidRPr="00667A8B">
        <w:rPr>
          <w:rFonts w:ascii="Arial" w:hAnsi="Arial" w:cs="Arial"/>
        </w:rPr>
        <w:t xml:space="preserve"> </w:t>
      </w:r>
    </w:p>
    <w:p w14:paraId="570E0ACA" w14:textId="048C8D5E" w:rsidR="008651F0" w:rsidRDefault="00863351" w:rsidP="00D62DAB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667A8B">
        <w:rPr>
          <w:rFonts w:ascii="Arial" w:hAnsi="Arial" w:cs="Arial"/>
        </w:rPr>
        <w:t>A</w:t>
      </w:r>
      <w:r w:rsidR="00D62DAB">
        <w:rPr>
          <w:rFonts w:ascii="Arial" w:hAnsi="Arial" w:cs="Arial"/>
        </w:rPr>
        <w:t>n</w:t>
      </w:r>
      <w:r w:rsidRPr="00667A8B">
        <w:rPr>
          <w:rFonts w:ascii="Arial" w:hAnsi="Arial" w:cs="Arial"/>
        </w:rPr>
        <w:t xml:space="preserve"> </w:t>
      </w:r>
      <w:r w:rsidR="00C607A4" w:rsidRPr="00C607A4">
        <w:rPr>
          <w:rFonts w:ascii="Arial" w:hAnsi="Arial" w:cs="Arial"/>
        </w:rPr>
        <w:t>assertive outreach</w:t>
      </w:r>
      <w:r w:rsidR="00C607A4">
        <w:rPr>
          <w:rFonts w:ascii="Arial" w:hAnsi="Arial" w:cs="Arial"/>
        </w:rPr>
        <w:t xml:space="preserve"> role</w:t>
      </w:r>
      <w:r w:rsidR="00C607A4" w:rsidRPr="00C607A4">
        <w:rPr>
          <w:rFonts w:ascii="Arial" w:hAnsi="Arial" w:cs="Arial"/>
        </w:rPr>
        <w:t xml:space="preserve"> </w:t>
      </w:r>
      <w:r w:rsidRPr="00667A8B">
        <w:rPr>
          <w:rFonts w:ascii="Arial" w:hAnsi="Arial" w:cs="Arial"/>
        </w:rPr>
        <w:t>was develop</w:t>
      </w:r>
      <w:r w:rsidR="008651F0" w:rsidRPr="00667A8B">
        <w:rPr>
          <w:rFonts w:ascii="Arial" w:hAnsi="Arial" w:cs="Arial"/>
        </w:rPr>
        <w:t>ed</w:t>
      </w:r>
      <w:r w:rsidRPr="00667A8B">
        <w:rPr>
          <w:rFonts w:ascii="Arial" w:hAnsi="Arial" w:cs="Arial"/>
        </w:rPr>
        <w:t xml:space="preserve"> </w:t>
      </w:r>
      <w:r w:rsidR="00D62DAB">
        <w:rPr>
          <w:rFonts w:ascii="Arial" w:hAnsi="Arial" w:cs="Arial"/>
        </w:rPr>
        <w:t xml:space="preserve">by one of the lead agencies </w:t>
      </w:r>
      <w:r w:rsidRPr="00667A8B">
        <w:rPr>
          <w:rFonts w:ascii="Arial" w:hAnsi="Arial" w:cs="Arial"/>
        </w:rPr>
        <w:t xml:space="preserve">to provide ongoing support with </w:t>
      </w:r>
      <w:r w:rsidR="0051186E">
        <w:rPr>
          <w:rFonts w:ascii="Arial" w:hAnsi="Arial" w:cs="Arial"/>
        </w:rPr>
        <w:t>p</w:t>
      </w:r>
      <w:r w:rsidR="0051186E" w:rsidRPr="00E9501E">
        <w:rPr>
          <w:rFonts w:ascii="Arial" w:hAnsi="Arial" w:cs="Arial"/>
        </w:rPr>
        <w:t xml:space="preserve">rimary health care </w:t>
      </w:r>
      <w:r w:rsidRPr="00667A8B">
        <w:rPr>
          <w:rFonts w:ascii="Arial" w:hAnsi="Arial" w:cs="Arial"/>
        </w:rPr>
        <w:t xml:space="preserve">access </w:t>
      </w:r>
      <w:r w:rsidR="008651F0" w:rsidRPr="00667A8B">
        <w:rPr>
          <w:rFonts w:ascii="Arial" w:hAnsi="Arial" w:cs="Arial"/>
        </w:rPr>
        <w:t>for the community at the first Pop-Up</w:t>
      </w:r>
      <w:r w:rsidR="00F562C1">
        <w:rPr>
          <w:rFonts w:ascii="Arial" w:hAnsi="Arial" w:cs="Arial"/>
        </w:rPr>
        <w:t>.</w:t>
      </w:r>
    </w:p>
    <w:p w14:paraId="50C0CB43" w14:textId="77777777" w:rsidR="0012619B" w:rsidRPr="00667A8B" w:rsidRDefault="0012619B" w:rsidP="0012619B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</w:p>
    <w:p w14:paraId="0F42A80D" w14:textId="77777777" w:rsidR="00863351" w:rsidRPr="00667A8B" w:rsidRDefault="00863351" w:rsidP="0055479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</w:rPr>
      </w:pPr>
      <w:r w:rsidRPr="00667A8B">
        <w:rPr>
          <w:rFonts w:ascii="Arial" w:hAnsi="Arial" w:cs="Arial"/>
          <w:b/>
        </w:rPr>
        <w:t xml:space="preserve">There </w:t>
      </w:r>
      <w:r w:rsidR="00984E6B">
        <w:rPr>
          <w:rFonts w:ascii="Arial" w:hAnsi="Arial" w:cs="Arial"/>
          <w:b/>
        </w:rPr>
        <w:t>are</w:t>
      </w:r>
      <w:r w:rsidRPr="00667A8B">
        <w:rPr>
          <w:rFonts w:ascii="Arial" w:hAnsi="Arial" w:cs="Arial"/>
          <w:b/>
        </w:rPr>
        <w:t xml:space="preserve"> barriers in achieving follow-up contact post-Pop-Up</w:t>
      </w:r>
    </w:p>
    <w:p w14:paraId="0B35C4FB" w14:textId="4A1FB63A" w:rsidR="00863351" w:rsidRPr="00667A8B" w:rsidRDefault="00863351" w:rsidP="00554796">
      <w:pPr>
        <w:pStyle w:val="ListParagraph"/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 w:rsidRPr="00667A8B">
        <w:rPr>
          <w:rFonts w:ascii="Arial" w:hAnsi="Arial" w:cs="Arial"/>
        </w:rPr>
        <w:t>Providers were unable to reach</w:t>
      </w:r>
      <w:r w:rsidR="00420B91">
        <w:rPr>
          <w:rFonts w:ascii="Arial" w:hAnsi="Arial" w:cs="Arial"/>
        </w:rPr>
        <w:t xml:space="preserve"> many</w:t>
      </w:r>
      <w:r w:rsidRPr="00667A8B">
        <w:rPr>
          <w:rFonts w:ascii="Arial" w:hAnsi="Arial" w:cs="Arial"/>
        </w:rPr>
        <w:t xml:space="preserve"> </w:t>
      </w:r>
      <w:r w:rsidR="00F562C1">
        <w:rPr>
          <w:rFonts w:ascii="Arial" w:hAnsi="Arial" w:cs="Arial"/>
        </w:rPr>
        <w:t>attendees</w:t>
      </w:r>
      <w:r w:rsidR="00F562C1" w:rsidRPr="00420B91">
        <w:rPr>
          <w:rFonts w:ascii="Arial" w:hAnsi="Arial" w:cs="Arial"/>
        </w:rPr>
        <w:t xml:space="preserve"> </w:t>
      </w:r>
      <w:r w:rsidR="008651F0" w:rsidRPr="00667A8B">
        <w:rPr>
          <w:rFonts w:ascii="Arial" w:hAnsi="Arial" w:cs="Arial"/>
        </w:rPr>
        <w:t>on their</w:t>
      </w:r>
      <w:r w:rsidRPr="00667A8B">
        <w:rPr>
          <w:rFonts w:ascii="Arial" w:hAnsi="Arial" w:cs="Arial"/>
        </w:rPr>
        <w:t xml:space="preserve"> provided contact details</w:t>
      </w:r>
      <w:r w:rsidR="00F562C1">
        <w:rPr>
          <w:rFonts w:ascii="Arial" w:hAnsi="Arial" w:cs="Arial"/>
        </w:rPr>
        <w:t>.</w:t>
      </w:r>
      <w:r w:rsidRPr="00667A8B">
        <w:rPr>
          <w:rFonts w:ascii="Arial" w:hAnsi="Arial" w:cs="Arial"/>
        </w:rPr>
        <w:t xml:space="preserve"> </w:t>
      </w:r>
    </w:p>
    <w:p w14:paraId="28D284E3" w14:textId="4534C80B" w:rsidR="00E9501E" w:rsidRDefault="00420B91" w:rsidP="00554796">
      <w:pPr>
        <w:pStyle w:val="ListParagraph"/>
        <w:numPr>
          <w:ilvl w:val="1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Most</w:t>
      </w:r>
      <w:r w:rsidR="00863351" w:rsidRPr="00667A8B">
        <w:rPr>
          <w:rFonts w:ascii="Arial" w:hAnsi="Arial" w:cs="Arial"/>
        </w:rPr>
        <w:t xml:space="preserve"> </w:t>
      </w:r>
      <w:r w:rsidR="00F562C1">
        <w:rPr>
          <w:rFonts w:ascii="Arial" w:hAnsi="Arial" w:cs="Arial"/>
        </w:rPr>
        <w:t>attendees</w:t>
      </w:r>
      <w:r w:rsidR="00F562C1" w:rsidRPr="00420B91">
        <w:rPr>
          <w:rFonts w:ascii="Arial" w:hAnsi="Arial" w:cs="Arial"/>
        </w:rPr>
        <w:t xml:space="preserve"> </w:t>
      </w:r>
      <w:r w:rsidR="00863351" w:rsidRPr="00667A8B">
        <w:rPr>
          <w:rFonts w:ascii="Arial" w:hAnsi="Arial" w:cs="Arial"/>
        </w:rPr>
        <w:t xml:space="preserve">did not initiate or seek follow-up </w:t>
      </w:r>
      <w:r w:rsidR="00984E6B">
        <w:rPr>
          <w:rFonts w:ascii="Arial" w:hAnsi="Arial" w:cs="Arial"/>
        </w:rPr>
        <w:t>contact</w:t>
      </w:r>
      <w:r w:rsidR="00F562C1">
        <w:rPr>
          <w:rFonts w:ascii="Arial" w:hAnsi="Arial" w:cs="Arial"/>
        </w:rPr>
        <w:t>.</w:t>
      </w:r>
      <w:r w:rsidR="00984E6B">
        <w:rPr>
          <w:rFonts w:ascii="Arial" w:hAnsi="Arial" w:cs="Arial"/>
        </w:rPr>
        <w:t xml:space="preserve"> </w:t>
      </w:r>
    </w:p>
    <w:p w14:paraId="2F40B8AE" w14:textId="77777777" w:rsidR="0012619B" w:rsidRPr="00667A8B" w:rsidRDefault="0012619B" w:rsidP="0012619B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</w:p>
    <w:p w14:paraId="60F9B83C" w14:textId="77777777" w:rsidR="00343795" w:rsidRPr="00667A8B" w:rsidRDefault="00343795" w:rsidP="0055479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667A8B">
        <w:rPr>
          <w:rFonts w:ascii="Arial" w:hAnsi="Arial" w:cs="Arial"/>
          <w:b/>
        </w:rPr>
        <w:t xml:space="preserve">Sustainability of the Pop-Up model is a priority, but needs to overcome a number of challenges </w:t>
      </w:r>
    </w:p>
    <w:p w14:paraId="671DCB82" w14:textId="3A0E1D40" w:rsidR="00554796" w:rsidRDefault="00554796" w:rsidP="00554796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100%</w:t>
      </w:r>
      <w:proofErr w:type="gramEnd"/>
      <w:r>
        <w:rPr>
          <w:rFonts w:ascii="Arial" w:hAnsi="Arial" w:cs="Arial"/>
        </w:rPr>
        <w:t xml:space="preserve"> of surveyed managers indicated </w:t>
      </w:r>
      <w:r w:rsidR="00984E6B">
        <w:rPr>
          <w:rFonts w:ascii="Arial" w:hAnsi="Arial" w:cs="Arial"/>
        </w:rPr>
        <w:t>interest</w:t>
      </w:r>
      <w:r>
        <w:rPr>
          <w:rFonts w:ascii="Arial" w:hAnsi="Arial" w:cs="Arial"/>
        </w:rPr>
        <w:t xml:space="preserve"> in being involved with and a</w:t>
      </w:r>
      <w:r w:rsidR="0057658B">
        <w:rPr>
          <w:rFonts w:ascii="Arial" w:hAnsi="Arial" w:cs="Arial"/>
        </w:rPr>
        <w:t>ttending a future Pop-Up</w:t>
      </w:r>
      <w:bookmarkStart w:id="0" w:name="_GoBack"/>
      <w:bookmarkEnd w:id="0"/>
      <w:r w:rsidR="00F562C1">
        <w:rPr>
          <w:rFonts w:ascii="Arial" w:hAnsi="Arial" w:cs="Arial"/>
        </w:rPr>
        <w:t>.</w:t>
      </w:r>
    </w:p>
    <w:p w14:paraId="7D1521C6" w14:textId="19D1CC08" w:rsidR="00343795" w:rsidRPr="00667A8B" w:rsidRDefault="002D6A40" w:rsidP="00554796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667A8B">
        <w:rPr>
          <w:rFonts w:ascii="Arial" w:hAnsi="Arial" w:cs="Arial"/>
        </w:rPr>
        <w:t>C</w:t>
      </w:r>
      <w:r w:rsidR="00343795" w:rsidRPr="00667A8B">
        <w:rPr>
          <w:rFonts w:ascii="Arial" w:hAnsi="Arial" w:cs="Arial"/>
        </w:rPr>
        <w:t>ontinuation of the Pop-Up model</w:t>
      </w:r>
      <w:r w:rsidRPr="00667A8B">
        <w:rPr>
          <w:rFonts w:ascii="Arial" w:hAnsi="Arial" w:cs="Arial"/>
        </w:rPr>
        <w:t xml:space="preserve"> </w:t>
      </w:r>
      <w:r w:rsidR="00343795" w:rsidRPr="00667A8B">
        <w:rPr>
          <w:rFonts w:ascii="Arial" w:hAnsi="Arial" w:cs="Arial"/>
        </w:rPr>
        <w:t>require</w:t>
      </w:r>
      <w:r w:rsidR="00554796">
        <w:rPr>
          <w:rFonts w:ascii="Arial" w:hAnsi="Arial" w:cs="Arial"/>
        </w:rPr>
        <w:t>s</w:t>
      </w:r>
      <w:r w:rsidR="00343795" w:rsidRPr="00667A8B">
        <w:rPr>
          <w:rFonts w:ascii="Arial" w:hAnsi="Arial" w:cs="Arial"/>
        </w:rPr>
        <w:t xml:space="preserve"> </w:t>
      </w:r>
      <w:r w:rsidRPr="00667A8B">
        <w:rPr>
          <w:rFonts w:ascii="Arial" w:hAnsi="Arial" w:cs="Arial"/>
        </w:rPr>
        <w:t>a leading organisation, sufficient resources, and integration with organisational strategy</w:t>
      </w:r>
      <w:r w:rsidR="00F562C1">
        <w:rPr>
          <w:rFonts w:ascii="Arial" w:hAnsi="Arial" w:cs="Arial"/>
        </w:rPr>
        <w:t>.</w:t>
      </w:r>
    </w:p>
    <w:p w14:paraId="2EBDAA2F" w14:textId="208D18F0" w:rsidR="00667A8B" w:rsidRPr="00E670E7" w:rsidRDefault="002D6A40" w:rsidP="00E670E7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00667A8B">
        <w:rPr>
          <w:rFonts w:ascii="Arial" w:hAnsi="Arial" w:cs="Arial"/>
        </w:rPr>
        <w:t>Provider funding and inability to claim for services provided at the Pop-Up remains an ongoing challenge</w:t>
      </w:r>
      <w:r w:rsidR="00F562C1">
        <w:rPr>
          <w:rFonts w:ascii="Arial" w:hAnsi="Arial" w:cs="Arial"/>
        </w:rPr>
        <w:t>.</w:t>
      </w:r>
      <w:r w:rsidRPr="00667A8B">
        <w:rPr>
          <w:rFonts w:ascii="Arial" w:hAnsi="Arial" w:cs="Arial"/>
        </w:rPr>
        <w:t xml:space="preserve"> </w:t>
      </w:r>
    </w:p>
    <w:p w14:paraId="70D71CE8" w14:textId="77777777" w:rsidR="004E5124" w:rsidRPr="00CC74DD" w:rsidRDefault="00CF4D7B" w:rsidP="004E5124">
      <w:pPr>
        <w:pStyle w:val="Heading3"/>
        <w:rPr>
          <w:rFonts w:ascii="Arial" w:hAnsi="Arial" w:cs="Arial"/>
          <w:b/>
        </w:rPr>
      </w:pPr>
      <w:r w:rsidRPr="00CC74DD">
        <w:rPr>
          <w:rFonts w:ascii="Arial" w:hAnsi="Arial" w:cs="Arial"/>
          <w:b/>
        </w:rPr>
        <w:t>Key messages</w:t>
      </w:r>
    </w:p>
    <w:p w14:paraId="09E79454" w14:textId="77777777" w:rsidR="00504DCF" w:rsidRPr="00C92D6A" w:rsidRDefault="00504DCF" w:rsidP="00504DCF">
      <w:pPr>
        <w:numPr>
          <w:ilvl w:val="0"/>
          <w:numId w:val="27"/>
        </w:numPr>
        <w:spacing w:after="360" w:line="276" w:lineRule="auto"/>
        <w:contextualSpacing/>
        <w:rPr>
          <w:rFonts w:ascii="Arial" w:hAnsi="Arial" w:cs="Arial"/>
        </w:rPr>
      </w:pPr>
      <w:r w:rsidRPr="00C92D6A">
        <w:rPr>
          <w:rFonts w:ascii="Arial" w:hAnsi="Arial" w:cs="Arial"/>
        </w:rPr>
        <w:t xml:space="preserve">The Pop-Up model shows promise in improving access to </w:t>
      </w:r>
      <w:r w:rsidRPr="00800336">
        <w:rPr>
          <w:rFonts w:ascii="Arial" w:hAnsi="Arial" w:cs="Arial"/>
        </w:rPr>
        <w:t xml:space="preserve">primary health care </w:t>
      </w:r>
      <w:r w:rsidRPr="00C92D6A">
        <w:rPr>
          <w:rFonts w:ascii="Arial" w:hAnsi="Arial" w:cs="Arial"/>
        </w:rPr>
        <w:t xml:space="preserve">for hard-to-reach and vulnerable communities. </w:t>
      </w:r>
    </w:p>
    <w:p w14:paraId="143218DC" w14:textId="77777777" w:rsidR="00504DCF" w:rsidRPr="00C92D6A" w:rsidRDefault="00504DCF" w:rsidP="00504DCF">
      <w:pPr>
        <w:numPr>
          <w:ilvl w:val="0"/>
          <w:numId w:val="27"/>
        </w:numPr>
        <w:spacing w:after="360" w:line="276" w:lineRule="auto"/>
        <w:contextualSpacing/>
        <w:jc w:val="both"/>
        <w:rPr>
          <w:rFonts w:ascii="Arial" w:hAnsi="Arial" w:cs="Arial"/>
        </w:rPr>
      </w:pPr>
      <w:r w:rsidRPr="00C92D6A">
        <w:rPr>
          <w:rFonts w:ascii="Arial" w:hAnsi="Arial" w:cs="Arial"/>
        </w:rPr>
        <w:t xml:space="preserve">Benefits of the model include increased </w:t>
      </w:r>
      <w:r>
        <w:rPr>
          <w:rFonts w:ascii="Arial" w:hAnsi="Arial" w:cs="Arial"/>
        </w:rPr>
        <w:t>person</w:t>
      </w:r>
      <w:r w:rsidRPr="00C92D6A">
        <w:rPr>
          <w:rFonts w:ascii="Arial" w:hAnsi="Arial" w:cs="Arial"/>
        </w:rPr>
        <w:t xml:space="preserve">-centeredness, immediate referrals, building trust from face-to-face contact, and the potential for opportunistic engagement from meeting </w:t>
      </w:r>
      <w:r>
        <w:rPr>
          <w:rFonts w:ascii="Arial" w:hAnsi="Arial" w:cs="Arial"/>
        </w:rPr>
        <w:t>people</w:t>
      </w:r>
      <w:r w:rsidRPr="00C92D6A">
        <w:rPr>
          <w:rFonts w:ascii="Arial" w:hAnsi="Arial" w:cs="Arial"/>
        </w:rPr>
        <w:t xml:space="preserve"> where they are.</w:t>
      </w:r>
    </w:p>
    <w:p w14:paraId="60F06831" w14:textId="124B248D" w:rsidR="00504DCF" w:rsidRPr="00C92D6A" w:rsidRDefault="00504DCF" w:rsidP="00504DCF">
      <w:pPr>
        <w:numPr>
          <w:ilvl w:val="0"/>
          <w:numId w:val="27"/>
        </w:numPr>
        <w:spacing w:after="360" w:line="276" w:lineRule="auto"/>
        <w:contextualSpacing/>
        <w:jc w:val="both"/>
        <w:rPr>
          <w:rFonts w:ascii="Arial" w:hAnsi="Arial" w:cs="Arial"/>
        </w:rPr>
      </w:pPr>
      <w:r w:rsidRPr="00C92D6A">
        <w:rPr>
          <w:rFonts w:ascii="Arial" w:hAnsi="Arial" w:cs="Arial"/>
        </w:rPr>
        <w:t>Through pa</w:t>
      </w:r>
      <w:r w:rsidR="00F562C1">
        <w:rPr>
          <w:rFonts w:ascii="Arial" w:hAnsi="Arial" w:cs="Arial"/>
        </w:rPr>
        <w:t>rticipating in a Pop-Up, health</w:t>
      </w:r>
      <w:r w:rsidRPr="00C92D6A">
        <w:rPr>
          <w:rFonts w:ascii="Arial" w:hAnsi="Arial" w:cs="Arial"/>
        </w:rPr>
        <w:t xml:space="preserve"> and social support providers may gain an improved understanding of the </w:t>
      </w:r>
      <w:r w:rsidRPr="00800336">
        <w:rPr>
          <w:rFonts w:ascii="Arial" w:hAnsi="Arial" w:cs="Arial"/>
        </w:rPr>
        <w:t xml:space="preserve">primary health care </w:t>
      </w:r>
      <w:r w:rsidRPr="00C92D6A">
        <w:rPr>
          <w:rFonts w:ascii="Arial" w:hAnsi="Arial" w:cs="Arial"/>
        </w:rPr>
        <w:t>system, referral processes, and the opportunity to develop cross-organisational networks and partnerships.</w:t>
      </w:r>
    </w:p>
    <w:p w14:paraId="01DA0974" w14:textId="77777777" w:rsidR="00504DCF" w:rsidRPr="00C92D6A" w:rsidRDefault="00504DCF" w:rsidP="00504DCF">
      <w:pPr>
        <w:numPr>
          <w:ilvl w:val="0"/>
          <w:numId w:val="27"/>
        </w:numPr>
        <w:spacing w:after="3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People</w:t>
      </w:r>
      <w:r w:rsidRPr="00C92D6A">
        <w:rPr>
          <w:rFonts w:ascii="Arial" w:hAnsi="Arial" w:cs="Arial"/>
        </w:rPr>
        <w:t xml:space="preserve"> who participate in Pop-Ups have </w:t>
      </w:r>
      <w:proofErr w:type="gramStart"/>
      <w:r w:rsidRPr="00C92D6A">
        <w:rPr>
          <w:rFonts w:ascii="Arial" w:hAnsi="Arial" w:cs="Arial"/>
        </w:rPr>
        <w:t>improved knowledge of services and how to access them</w:t>
      </w:r>
      <w:proofErr w:type="gramEnd"/>
      <w:r w:rsidRPr="00C92D6A">
        <w:rPr>
          <w:rFonts w:ascii="Arial" w:hAnsi="Arial" w:cs="Arial"/>
        </w:rPr>
        <w:t xml:space="preserve">. What is yet to </w:t>
      </w:r>
      <w:proofErr w:type="gramStart"/>
      <w:r w:rsidRPr="00C92D6A">
        <w:rPr>
          <w:rFonts w:ascii="Arial" w:hAnsi="Arial" w:cs="Arial"/>
        </w:rPr>
        <w:t>be seen</w:t>
      </w:r>
      <w:proofErr w:type="gramEnd"/>
      <w:r w:rsidRPr="00C92D6A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whether</w:t>
      </w:r>
      <w:r w:rsidRPr="00C92D6A">
        <w:rPr>
          <w:rFonts w:ascii="Arial" w:hAnsi="Arial" w:cs="Arial"/>
        </w:rPr>
        <w:t xml:space="preserve"> this translates into increased access of </w:t>
      </w:r>
      <w:r w:rsidRPr="00800336">
        <w:rPr>
          <w:rFonts w:ascii="Arial" w:hAnsi="Arial" w:cs="Arial"/>
        </w:rPr>
        <w:t xml:space="preserve">primary health care </w:t>
      </w:r>
      <w:r w:rsidRPr="00C92D6A">
        <w:rPr>
          <w:rFonts w:ascii="Arial" w:hAnsi="Arial" w:cs="Arial"/>
        </w:rPr>
        <w:t xml:space="preserve">and improved health and wellbeing.  </w:t>
      </w:r>
    </w:p>
    <w:p w14:paraId="24A95EF7" w14:textId="77777777" w:rsidR="00504DCF" w:rsidRPr="00C92D6A" w:rsidRDefault="00504DCF" w:rsidP="00504DCF">
      <w:pPr>
        <w:numPr>
          <w:ilvl w:val="0"/>
          <w:numId w:val="27"/>
        </w:numPr>
        <w:spacing w:after="360" w:line="276" w:lineRule="auto"/>
        <w:contextualSpacing/>
        <w:jc w:val="both"/>
        <w:rPr>
          <w:rFonts w:ascii="Arial" w:hAnsi="Arial" w:cs="Arial"/>
        </w:rPr>
      </w:pPr>
      <w:r w:rsidRPr="00C92D6A">
        <w:rPr>
          <w:rFonts w:ascii="Arial" w:hAnsi="Arial" w:cs="Arial"/>
        </w:rPr>
        <w:t xml:space="preserve">A key challenge with the Pop-Up model is </w:t>
      </w:r>
      <w:r>
        <w:rPr>
          <w:rFonts w:ascii="Arial" w:hAnsi="Arial" w:cs="Arial"/>
        </w:rPr>
        <w:t>whether service providers can achieve</w:t>
      </w:r>
      <w:r w:rsidRPr="00C92D6A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eaningful contact </w:t>
      </w:r>
      <w:r w:rsidRPr="00C92D6A">
        <w:rPr>
          <w:rFonts w:ascii="Arial" w:hAnsi="Arial" w:cs="Arial"/>
        </w:rPr>
        <w:t xml:space="preserve">and linkage with </w:t>
      </w:r>
      <w:r w:rsidRPr="00800336">
        <w:rPr>
          <w:rFonts w:ascii="Arial" w:hAnsi="Arial" w:cs="Arial"/>
        </w:rPr>
        <w:t>primary health care</w:t>
      </w:r>
      <w:r>
        <w:rPr>
          <w:rFonts w:ascii="Arial" w:hAnsi="Arial" w:cs="Arial"/>
        </w:rPr>
        <w:t xml:space="preserve"> with attendees</w:t>
      </w:r>
      <w:r w:rsidRPr="00C92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after the </w:t>
      </w:r>
      <w:r w:rsidRPr="00C92D6A">
        <w:rPr>
          <w:rFonts w:ascii="Arial" w:hAnsi="Arial" w:cs="Arial"/>
        </w:rPr>
        <w:t>Pop-Up.</w:t>
      </w:r>
    </w:p>
    <w:p w14:paraId="10ACE993" w14:textId="77777777" w:rsidR="00504DCF" w:rsidRDefault="00504DCF" w:rsidP="00504DCF">
      <w:pPr>
        <w:numPr>
          <w:ilvl w:val="0"/>
          <w:numId w:val="27"/>
        </w:numPr>
        <w:spacing w:after="360" w:line="276" w:lineRule="auto"/>
        <w:contextualSpacing/>
        <w:jc w:val="both"/>
        <w:rPr>
          <w:rFonts w:ascii="Arial" w:hAnsi="Arial" w:cs="Arial"/>
        </w:rPr>
      </w:pPr>
      <w:r w:rsidRPr="00C92D6A">
        <w:rPr>
          <w:rFonts w:ascii="Arial" w:hAnsi="Arial" w:cs="Arial"/>
        </w:rPr>
        <w:t xml:space="preserve">Sustainability of the Pop-Up model is a priority, but needs to overcome a number of challenges relating to resources, funding, and organisational leadership.  </w:t>
      </w:r>
    </w:p>
    <w:p w14:paraId="594B6E27" w14:textId="77777777" w:rsidR="00CC74DD" w:rsidRPr="00504DCF" w:rsidRDefault="00CC74DD" w:rsidP="00504DCF">
      <w:pPr>
        <w:ind w:left="360"/>
        <w:rPr>
          <w:rFonts w:ascii="Arial" w:hAnsi="Arial" w:cs="Arial"/>
        </w:rPr>
      </w:pPr>
    </w:p>
    <w:p w14:paraId="28B8399F" w14:textId="77777777" w:rsidR="00504DCF" w:rsidRDefault="00504DCF" w:rsidP="00504DCF">
      <w:pPr>
        <w:keepNext/>
        <w:keepLines/>
        <w:spacing w:before="40" w:after="0"/>
        <w:outlineLvl w:val="2"/>
        <w:rPr>
          <w:rFonts w:ascii="Arial" w:eastAsiaTheme="majorEastAsia" w:hAnsi="Arial" w:cs="Arial"/>
          <w:b/>
          <w:color w:val="1F4D78" w:themeColor="accent1" w:themeShade="7F"/>
          <w:sz w:val="24"/>
          <w:szCs w:val="24"/>
        </w:rPr>
      </w:pPr>
      <w:r w:rsidRPr="006F5737">
        <w:rPr>
          <w:rFonts w:ascii="Arial" w:eastAsiaTheme="majorEastAsia" w:hAnsi="Arial" w:cs="Arial"/>
          <w:b/>
          <w:color w:val="1F4D78" w:themeColor="accent1" w:themeShade="7F"/>
          <w:sz w:val="24"/>
          <w:szCs w:val="24"/>
        </w:rPr>
        <w:t xml:space="preserve">How </w:t>
      </w:r>
      <w:r>
        <w:rPr>
          <w:rFonts w:ascii="Arial" w:eastAsiaTheme="majorEastAsia" w:hAnsi="Arial" w:cs="Arial"/>
          <w:b/>
          <w:color w:val="1F4D78" w:themeColor="accent1" w:themeShade="7F"/>
          <w:sz w:val="24"/>
          <w:szCs w:val="24"/>
        </w:rPr>
        <w:t>do I get more information</w:t>
      </w:r>
      <w:r w:rsidRPr="006F5737">
        <w:rPr>
          <w:rFonts w:ascii="Arial" w:eastAsiaTheme="majorEastAsia" w:hAnsi="Arial" w:cs="Arial"/>
          <w:b/>
          <w:color w:val="1F4D78" w:themeColor="accent1" w:themeShade="7F"/>
          <w:sz w:val="24"/>
          <w:szCs w:val="24"/>
        </w:rPr>
        <w:t>?</w:t>
      </w:r>
    </w:p>
    <w:p w14:paraId="3E874BF9" w14:textId="77777777" w:rsidR="00504DCF" w:rsidRPr="00F44741" w:rsidRDefault="00504DCF" w:rsidP="00504DCF">
      <w:pPr>
        <w:jc w:val="both"/>
        <w:rPr>
          <w:rFonts w:ascii="Arial" w:hAnsi="Arial" w:cs="Arial"/>
        </w:rPr>
      </w:pPr>
      <w:r w:rsidRPr="00F44741">
        <w:rPr>
          <w:rFonts w:ascii="Arial" w:hAnsi="Arial" w:cs="Arial"/>
        </w:rPr>
        <w:t>To find out more</w:t>
      </w:r>
      <w:r>
        <w:rPr>
          <w:rFonts w:ascii="Arial" w:hAnsi="Arial" w:cs="Arial"/>
        </w:rPr>
        <w:t xml:space="preserve"> about the project, please see the </w:t>
      </w:r>
      <w:hyperlink r:id="rId10" w:history="1">
        <w:r w:rsidRPr="00F44741">
          <w:rPr>
            <w:rStyle w:val="Hyperlink"/>
            <w:rFonts w:ascii="Arial" w:hAnsi="Arial" w:cs="Arial"/>
          </w:rPr>
          <w:t>Pop-Up website</w:t>
        </w:r>
      </w:hyperlink>
      <w:r w:rsidRPr="00F44741">
        <w:rPr>
          <w:rFonts w:ascii="Arial" w:hAnsi="Arial" w:cs="Arial"/>
        </w:rPr>
        <w:t xml:space="preserve"> or contact Professor Grant Russell: </w:t>
      </w:r>
      <w:hyperlink r:id="rId11" w:history="1">
        <w:r w:rsidRPr="00F44741">
          <w:rPr>
            <w:rStyle w:val="Hyperlink"/>
            <w:rFonts w:ascii="Arial" w:hAnsi="Arial" w:cs="Arial"/>
          </w:rPr>
          <w:t>grant.russell@monash.edu</w:t>
        </w:r>
      </w:hyperlink>
      <w:r w:rsidRPr="00F44741">
        <w:rPr>
          <w:rFonts w:ascii="Arial" w:hAnsi="Arial" w:cs="Arial"/>
        </w:rPr>
        <w:t xml:space="preserve"> </w:t>
      </w:r>
    </w:p>
    <w:p w14:paraId="16FDB787" w14:textId="22DE917C" w:rsidR="00CC74DD" w:rsidRPr="00CC74DD" w:rsidRDefault="00504DCF" w:rsidP="00CC74DD">
      <w:pPr>
        <w:spacing w:after="360" w:line="276" w:lineRule="auto"/>
        <w:contextualSpacing/>
        <w:jc w:val="both"/>
        <w:rPr>
          <w:rFonts w:ascii="Arial" w:hAnsi="Arial" w:cs="Arial"/>
        </w:rPr>
      </w:pPr>
      <w:r w:rsidRPr="00F44741">
        <w:rPr>
          <w:rFonts w:ascii="Calibri" w:hAnsi="Calibri" w:cs="Calibri"/>
          <w:i/>
          <w:iCs/>
          <w:color w:val="1F497D"/>
        </w:rPr>
        <w:t xml:space="preserve">This project </w:t>
      </w:r>
      <w:proofErr w:type="gramStart"/>
      <w:r w:rsidRPr="00F44741">
        <w:rPr>
          <w:rFonts w:ascii="Calibri" w:hAnsi="Calibri" w:cs="Calibri"/>
          <w:i/>
          <w:iCs/>
          <w:color w:val="1F497D"/>
        </w:rPr>
        <w:t>was supported</w:t>
      </w:r>
      <w:proofErr w:type="gramEnd"/>
      <w:r w:rsidRPr="00F44741">
        <w:rPr>
          <w:rFonts w:ascii="Calibri" w:hAnsi="Calibri" w:cs="Calibri"/>
          <w:i/>
          <w:iCs/>
          <w:color w:val="1F497D"/>
        </w:rPr>
        <w:t xml:space="preserve"> by the Australian Government’s Medical Research Future Fund (</w:t>
      </w:r>
      <w:proofErr w:type="spellStart"/>
      <w:r w:rsidRPr="00F44741">
        <w:rPr>
          <w:rFonts w:ascii="Calibri" w:hAnsi="Calibri" w:cs="Calibri"/>
          <w:i/>
          <w:iCs/>
          <w:color w:val="1F497D"/>
        </w:rPr>
        <w:t>MRFF</w:t>
      </w:r>
      <w:proofErr w:type="spellEnd"/>
      <w:r w:rsidRPr="00F44741">
        <w:rPr>
          <w:rFonts w:ascii="Calibri" w:hAnsi="Calibri" w:cs="Calibri"/>
          <w:i/>
          <w:iCs/>
          <w:color w:val="1F497D"/>
        </w:rPr>
        <w:t>) as part of the Rapid Applied Research Translation program through Monash Partners</w:t>
      </w:r>
      <w:r>
        <w:rPr>
          <w:rFonts w:ascii="Calibri" w:hAnsi="Calibri" w:cs="Calibri"/>
          <w:i/>
          <w:iCs/>
          <w:color w:val="1F497D"/>
        </w:rPr>
        <w:t>.</w:t>
      </w:r>
    </w:p>
    <w:sectPr w:rsidR="00CC74DD" w:rsidRPr="00CC74DD" w:rsidSect="00FC5B4D">
      <w:pgSz w:w="11906" w:h="16838"/>
      <w:pgMar w:top="568" w:right="1080" w:bottom="709" w:left="1080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476DB" w14:textId="77777777" w:rsidR="00F93425" w:rsidRDefault="00F93425" w:rsidP="00F93425">
      <w:pPr>
        <w:spacing w:after="0" w:line="240" w:lineRule="auto"/>
      </w:pPr>
      <w:r>
        <w:separator/>
      </w:r>
    </w:p>
  </w:endnote>
  <w:endnote w:type="continuationSeparator" w:id="0">
    <w:p w14:paraId="55EA72DE" w14:textId="77777777" w:rsidR="00F93425" w:rsidRDefault="00F93425" w:rsidP="00F9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889AA" w14:textId="2C56E001" w:rsidR="00504DCF" w:rsidRDefault="0090048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1744C67" wp14:editId="6E833142">
          <wp:simplePos x="0" y="0"/>
          <wp:positionH relativeFrom="column">
            <wp:posOffset>3971925</wp:posOffset>
          </wp:positionH>
          <wp:positionV relativeFrom="paragraph">
            <wp:posOffset>-3175</wp:posOffset>
          </wp:positionV>
          <wp:extent cx="518160" cy="743585"/>
          <wp:effectExtent l="0" t="0" r="0" b="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A127D36" wp14:editId="5BC1FFE1">
          <wp:simplePos x="0" y="0"/>
          <wp:positionH relativeFrom="column">
            <wp:posOffset>5286375</wp:posOffset>
          </wp:positionH>
          <wp:positionV relativeFrom="paragraph">
            <wp:posOffset>64770</wp:posOffset>
          </wp:positionV>
          <wp:extent cx="1170305" cy="475615"/>
          <wp:effectExtent l="0" t="0" r="0" b="635"/>
          <wp:wrapSquare wrapText="bothSides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DCF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F1511F8" wp14:editId="6F2077C9">
          <wp:simplePos x="0" y="0"/>
          <wp:positionH relativeFrom="column">
            <wp:posOffset>1666875</wp:posOffset>
          </wp:positionH>
          <wp:positionV relativeFrom="paragraph">
            <wp:posOffset>116840</wp:posOffset>
          </wp:positionV>
          <wp:extent cx="1383665" cy="286385"/>
          <wp:effectExtent l="0" t="0" r="6985" b="0"/>
          <wp:wrapSquare wrapText="bothSides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DCF">
      <w:rPr>
        <w:noProof/>
        <w:lang w:eastAsia="en-AU"/>
      </w:rPr>
      <w:drawing>
        <wp:inline distT="0" distB="0" distL="0" distR="0" wp14:anchorId="00F00D27" wp14:editId="7E8CB4EA">
          <wp:extent cx="1268095" cy="542290"/>
          <wp:effectExtent l="0" t="0" r="8255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71506" w14:textId="77777777" w:rsidR="00F93425" w:rsidRDefault="00F93425" w:rsidP="00F93425">
      <w:pPr>
        <w:spacing w:after="0" w:line="240" w:lineRule="auto"/>
      </w:pPr>
      <w:r>
        <w:separator/>
      </w:r>
    </w:p>
  </w:footnote>
  <w:footnote w:type="continuationSeparator" w:id="0">
    <w:p w14:paraId="2E6FD9DF" w14:textId="77777777" w:rsidR="00F93425" w:rsidRDefault="00F93425" w:rsidP="00F93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2A5"/>
    <w:multiLevelType w:val="hybridMultilevel"/>
    <w:tmpl w:val="52C4BAFA"/>
    <w:lvl w:ilvl="0" w:tplc="1EDC38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7653"/>
    <w:multiLevelType w:val="hybridMultilevel"/>
    <w:tmpl w:val="2710D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455"/>
    <w:multiLevelType w:val="hybridMultilevel"/>
    <w:tmpl w:val="A4FAB75E"/>
    <w:lvl w:ilvl="0" w:tplc="0C30C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8E3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45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C4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E6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09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4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63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B14F7F"/>
    <w:multiLevelType w:val="hybridMultilevel"/>
    <w:tmpl w:val="EBB2C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67C5"/>
    <w:multiLevelType w:val="hybridMultilevel"/>
    <w:tmpl w:val="88DAB964"/>
    <w:lvl w:ilvl="0" w:tplc="EB9EADB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B2103"/>
    <w:multiLevelType w:val="hybridMultilevel"/>
    <w:tmpl w:val="94C25A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126996"/>
    <w:multiLevelType w:val="hybridMultilevel"/>
    <w:tmpl w:val="D98A04A6"/>
    <w:lvl w:ilvl="0" w:tplc="EB9EADB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A67BA"/>
    <w:multiLevelType w:val="hybridMultilevel"/>
    <w:tmpl w:val="36A83BCC"/>
    <w:lvl w:ilvl="0" w:tplc="87BE2A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00864"/>
    <w:multiLevelType w:val="hybridMultilevel"/>
    <w:tmpl w:val="3F10B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4441B"/>
    <w:multiLevelType w:val="hybridMultilevel"/>
    <w:tmpl w:val="960E05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4739B"/>
    <w:multiLevelType w:val="hybridMultilevel"/>
    <w:tmpl w:val="A0F6A268"/>
    <w:lvl w:ilvl="0" w:tplc="5FCECF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A19B6"/>
    <w:multiLevelType w:val="hybridMultilevel"/>
    <w:tmpl w:val="3AFAE7C6"/>
    <w:lvl w:ilvl="0" w:tplc="87BE2A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A025C"/>
    <w:multiLevelType w:val="hybridMultilevel"/>
    <w:tmpl w:val="483A4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23B0F"/>
    <w:multiLevelType w:val="hybridMultilevel"/>
    <w:tmpl w:val="ED30ED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3B6E48"/>
    <w:multiLevelType w:val="hybridMultilevel"/>
    <w:tmpl w:val="2910AAC2"/>
    <w:lvl w:ilvl="0" w:tplc="23F032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122CB"/>
    <w:multiLevelType w:val="hybridMultilevel"/>
    <w:tmpl w:val="E10412C6"/>
    <w:lvl w:ilvl="0" w:tplc="D3E0C36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50C72"/>
    <w:multiLevelType w:val="hybridMultilevel"/>
    <w:tmpl w:val="304413BE"/>
    <w:lvl w:ilvl="0" w:tplc="23F032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A530E"/>
    <w:multiLevelType w:val="hybridMultilevel"/>
    <w:tmpl w:val="F46C8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337FD"/>
    <w:multiLevelType w:val="hybridMultilevel"/>
    <w:tmpl w:val="443E8294"/>
    <w:lvl w:ilvl="0" w:tplc="23F032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22833"/>
    <w:multiLevelType w:val="hybridMultilevel"/>
    <w:tmpl w:val="C494E136"/>
    <w:lvl w:ilvl="0" w:tplc="7C66F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6E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86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24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AA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EF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67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A2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03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E6658A"/>
    <w:multiLevelType w:val="hybridMultilevel"/>
    <w:tmpl w:val="5E3EEF42"/>
    <w:lvl w:ilvl="0" w:tplc="87BE2A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046EB"/>
    <w:multiLevelType w:val="hybridMultilevel"/>
    <w:tmpl w:val="B5AAC75A"/>
    <w:lvl w:ilvl="0" w:tplc="87BE2A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83866"/>
    <w:multiLevelType w:val="hybridMultilevel"/>
    <w:tmpl w:val="A5B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81727"/>
    <w:multiLevelType w:val="hybridMultilevel"/>
    <w:tmpl w:val="C0563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92503"/>
    <w:multiLevelType w:val="hybridMultilevel"/>
    <w:tmpl w:val="2F68F222"/>
    <w:lvl w:ilvl="0" w:tplc="23F032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E4836"/>
    <w:multiLevelType w:val="hybridMultilevel"/>
    <w:tmpl w:val="2B92E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75AB2"/>
    <w:multiLevelType w:val="hybridMultilevel"/>
    <w:tmpl w:val="4C584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1"/>
  </w:num>
  <w:num w:numId="5">
    <w:abstractNumId w:val="0"/>
  </w:num>
  <w:num w:numId="6">
    <w:abstractNumId w:val="9"/>
  </w:num>
  <w:num w:numId="7">
    <w:abstractNumId w:val="21"/>
  </w:num>
  <w:num w:numId="8">
    <w:abstractNumId w:val="11"/>
  </w:num>
  <w:num w:numId="9">
    <w:abstractNumId w:val="20"/>
  </w:num>
  <w:num w:numId="10">
    <w:abstractNumId w:val="7"/>
  </w:num>
  <w:num w:numId="11">
    <w:abstractNumId w:val="17"/>
  </w:num>
  <w:num w:numId="12">
    <w:abstractNumId w:val="5"/>
  </w:num>
  <w:num w:numId="13">
    <w:abstractNumId w:val="13"/>
  </w:num>
  <w:num w:numId="14">
    <w:abstractNumId w:val="3"/>
  </w:num>
  <w:num w:numId="15">
    <w:abstractNumId w:val="8"/>
  </w:num>
  <w:num w:numId="16">
    <w:abstractNumId w:val="16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2"/>
  </w:num>
  <w:num w:numId="22">
    <w:abstractNumId w:val="19"/>
  </w:num>
  <w:num w:numId="23">
    <w:abstractNumId w:val="4"/>
  </w:num>
  <w:num w:numId="24">
    <w:abstractNumId w:val="15"/>
  </w:num>
  <w:num w:numId="25">
    <w:abstractNumId w:val="10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32"/>
    <w:rsid w:val="00030DA8"/>
    <w:rsid w:val="000B52CF"/>
    <w:rsid w:val="0012619B"/>
    <w:rsid w:val="00152E04"/>
    <w:rsid w:val="00192CDF"/>
    <w:rsid w:val="001E3B79"/>
    <w:rsid w:val="00237E44"/>
    <w:rsid w:val="002518E2"/>
    <w:rsid w:val="00295979"/>
    <w:rsid w:val="002D6A40"/>
    <w:rsid w:val="00343795"/>
    <w:rsid w:val="003A66F9"/>
    <w:rsid w:val="00420B91"/>
    <w:rsid w:val="00421367"/>
    <w:rsid w:val="00457C32"/>
    <w:rsid w:val="004E5124"/>
    <w:rsid w:val="00504DCF"/>
    <w:rsid w:val="0051186E"/>
    <w:rsid w:val="00526F19"/>
    <w:rsid w:val="00554796"/>
    <w:rsid w:val="0057658B"/>
    <w:rsid w:val="005A7138"/>
    <w:rsid w:val="005C0E87"/>
    <w:rsid w:val="00667A8B"/>
    <w:rsid w:val="006C0703"/>
    <w:rsid w:val="006F18F5"/>
    <w:rsid w:val="006F63F6"/>
    <w:rsid w:val="007F08E3"/>
    <w:rsid w:val="008459C0"/>
    <w:rsid w:val="00863351"/>
    <w:rsid w:val="008651F0"/>
    <w:rsid w:val="008702E6"/>
    <w:rsid w:val="008B5FC5"/>
    <w:rsid w:val="00900485"/>
    <w:rsid w:val="00953DE8"/>
    <w:rsid w:val="00972D97"/>
    <w:rsid w:val="00984E6B"/>
    <w:rsid w:val="00AA517F"/>
    <w:rsid w:val="00AD445B"/>
    <w:rsid w:val="00B27DE9"/>
    <w:rsid w:val="00B64B91"/>
    <w:rsid w:val="00C502CD"/>
    <w:rsid w:val="00C607A4"/>
    <w:rsid w:val="00CC74DD"/>
    <w:rsid w:val="00CF4D7B"/>
    <w:rsid w:val="00D03F69"/>
    <w:rsid w:val="00D42A1D"/>
    <w:rsid w:val="00D62DAB"/>
    <w:rsid w:val="00D66253"/>
    <w:rsid w:val="00D87833"/>
    <w:rsid w:val="00E670E7"/>
    <w:rsid w:val="00E9501E"/>
    <w:rsid w:val="00EF61C3"/>
    <w:rsid w:val="00F2410D"/>
    <w:rsid w:val="00F562C1"/>
    <w:rsid w:val="00F9039F"/>
    <w:rsid w:val="00F93425"/>
    <w:rsid w:val="00F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B51C37"/>
  <w15:chartTrackingRefBased/>
  <w15:docId w15:val="{D797882E-BE74-4EDF-B387-D386317B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425"/>
  </w:style>
  <w:style w:type="paragraph" w:styleId="Heading1">
    <w:name w:val="heading 1"/>
    <w:basedOn w:val="Normal"/>
    <w:next w:val="Normal"/>
    <w:link w:val="Heading1Char"/>
    <w:uiPriority w:val="9"/>
    <w:qFormat/>
    <w:rsid w:val="000B5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A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1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1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1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B52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2A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2A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9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903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903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903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F903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903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9039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903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F9039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6">
    <w:name w:val="Grid Table 3 Accent 6"/>
    <w:basedOn w:val="TableNormal"/>
    <w:uiPriority w:val="48"/>
    <w:rsid w:val="00F9039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PlainTable1">
    <w:name w:val="Plain Table 1"/>
    <w:basedOn w:val="TableNormal"/>
    <w:uiPriority w:val="41"/>
    <w:rsid w:val="00F903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518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51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518E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9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25"/>
  </w:style>
  <w:style w:type="paragraph" w:styleId="Footer">
    <w:name w:val="footer"/>
    <w:basedOn w:val="Normal"/>
    <w:link w:val="FooterChar"/>
    <w:uiPriority w:val="99"/>
    <w:unhideWhenUsed/>
    <w:rsid w:val="00F9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25"/>
  </w:style>
  <w:style w:type="character" w:styleId="CommentReference">
    <w:name w:val="annotation reference"/>
    <w:basedOn w:val="DefaultParagraphFont"/>
    <w:uiPriority w:val="99"/>
    <w:semiHidden/>
    <w:unhideWhenUsed/>
    <w:rsid w:val="00CC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actresearchprogram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.russell@monash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onash.edu/medicine/spahc/general-practice/research-projects/pop-up-projec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Claire Westbury</dc:creator>
  <cp:keywords/>
  <dc:description/>
  <cp:lastModifiedBy>Sharon Clifford</cp:lastModifiedBy>
  <cp:revision>16</cp:revision>
  <dcterms:created xsi:type="dcterms:W3CDTF">2020-05-13T12:27:00Z</dcterms:created>
  <dcterms:modified xsi:type="dcterms:W3CDTF">2020-08-10T23:48:00Z</dcterms:modified>
</cp:coreProperties>
</file>