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4A84" w14:textId="6826CE37" w:rsidR="002868E2" w:rsidRPr="00BD3197" w:rsidRDefault="007803FB" w:rsidP="00376CC5">
      <w:pPr>
        <w:pStyle w:val="Title"/>
      </w:pPr>
      <w:r w:rsidRPr="00BD3197">
        <w:t xml:space="preserve">Measuring COVID-19 </w:t>
      </w:r>
      <w:r w:rsidR="00CE3DD4">
        <w:t>F</w:t>
      </w:r>
      <w:r w:rsidRPr="00BD3197">
        <w:t xml:space="preserve">ear in Australian, Indian, and Nepali </w:t>
      </w:r>
      <w:r w:rsidR="00657BD9">
        <w:t>U</w:t>
      </w:r>
      <w:r w:rsidRPr="00BD3197">
        <w:t xml:space="preserve">niversity </w:t>
      </w:r>
      <w:r w:rsidR="00657BD9">
        <w:t>S</w:t>
      </w:r>
      <w:r w:rsidRPr="00BD3197">
        <w:t>tudents</w:t>
      </w:r>
    </w:p>
    <w:p w14:paraId="337586F1" w14:textId="3F3B262B" w:rsidR="002868E2" w:rsidRPr="00BD3197" w:rsidRDefault="00BA7CDF" w:rsidP="00651CA2">
      <w:pPr>
        <w:pStyle w:val="AuthorList"/>
      </w:pPr>
      <w:r w:rsidRPr="00BD3197">
        <w:t xml:space="preserve">Francesca </w:t>
      </w:r>
      <w:r w:rsidR="00B25CF9" w:rsidRPr="00BD3197">
        <w:t xml:space="preserve">E. </w:t>
      </w:r>
      <w:r w:rsidRPr="00BD3197">
        <w:t>Collins</w:t>
      </w:r>
      <w:r w:rsidR="00A75F87" w:rsidRPr="00BD3197">
        <w:rPr>
          <w:vertAlign w:val="superscript"/>
        </w:rPr>
        <w:t>1</w:t>
      </w:r>
      <w:r w:rsidRPr="00BD3197">
        <w:rPr>
          <w:vertAlign w:val="superscript"/>
        </w:rPr>
        <w:t>,2</w:t>
      </w:r>
      <w:r w:rsidR="00DF5972" w:rsidRPr="00BD3197">
        <w:rPr>
          <w:vertAlign w:val="superscript"/>
        </w:rPr>
        <w:t>*</w:t>
      </w:r>
    </w:p>
    <w:p w14:paraId="3EC68EFD" w14:textId="1834AFD5" w:rsidR="002868E2" w:rsidRPr="00BD3197" w:rsidRDefault="002868E2" w:rsidP="006B2D5B">
      <w:pPr>
        <w:spacing w:before="240" w:after="0"/>
        <w:rPr>
          <w:rFonts w:cs="Times New Roman"/>
          <w:b/>
          <w:szCs w:val="24"/>
        </w:rPr>
      </w:pPr>
      <w:r w:rsidRPr="00BD3197">
        <w:rPr>
          <w:rFonts w:cs="Times New Roman"/>
          <w:szCs w:val="24"/>
          <w:vertAlign w:val="superscript"/>
        </w:rPr>
        <w:t>1</w:t>
      </w:r>
      <w:r w:rsidR="00BA7CDF" w:rsidRPr="00BD3197">
        <w:rPr>
          <w:rFonts w:cs="Times New Roman"/>
          <w:szCs w:val="24"/>
        </w:rPr>
        <w:t>School of Psycholo</w:t>
      </w:r>
      <w:r w:rsidR="00913445" w:rsidRPr="00BD3197">
        <w:rPr>
          <w:rFonts w:cs="Times New Roman"/>
          <w:szCs w:val="24"/>
        </w:rPr>
        <w:t>gical Sciences, Monash University, Melbourne, VIC, Australia</w:t>
      </w:r>
    </w:p>
    <w:p w14:paraId="626845AB" w14:textId="6371395C" w:rsidR="002868E2" w:rsidRPr="00BD3197" w:rsidRDefault="002868E2" w:rsidP="006B2D5B">
      <w:pPr>
        <w:spacing w:after="0"/>
        <w:rPr>
          <w:rFonts w:cs="Times New Roman"/>
          <w:b/>
          <w:szCs w:val="24"/>
        </w:rPr>
      </w:pPr>
      <w:r w:rsidRPr="00BD3197">
        <w:rPr>
          <w:rFonts w:cs="Times New Roman"/>
          <w:szCs w:val="24"/>
          <w:vertAlign w:val="superscript"/>
        </w:rPr>
        <w:t>2</w:t>
      </w:r>
      <w:r w:rsidR="00DF5972" w:rsidRPr="00BD3197">
        <w:rPr>
          <w:rFonts w:cs="Times New Roman"/>
          <w:szCs w:val="24"/>
        </w:rPr>
        <w:t xml:space="preserve">University of California </w:t>
      </w:r>
      <w:r w:rsidR="00FA2CD5" w:rsidRPr="00BD3197">
        <w:rPr>
          <w:rFonts w:cs="Times New Roman"/>
          <w:szCs w:val="24"/>
        </w:rPr>
        <w:t>Education Abroad Program, University of California</w:t>
      </w:r>
      <w:r w:rsidR="00DF5972" w:rsidRPr="00BD3197">
        <w:rPr>
          <w:rFonts w:cs="Times New Roman"/>
          <w:szCs w:val="24"/>
        </w:rPr>
        <w:t xml:space="preserve">, </w:t>
      </w:r>
      <w:r w:rsidR="00300398" w:rsidRPr="00BD3197">
        <w:rPr>
          <w:rFonts w:cs="Times New Roman"/>
          <w:szCs w:val="24"/>
        </w:rPr>
        <w:t>Oakland</w:t>
      </w:r>
      <w:r w:rsidR="00DF5972" w:rsidRPr="00BD3197">
        <w:rPr>
          <w:rFonts w:cs="Times New Roman"/>
          <w:szCs w:val="24"/>
        </w:rPr>
        <w:t>, CA, USA</w:t>
      </w:r>
    </w:p>
    <w:p w14:paraId="55458F15" w14:textId="2BB7F1F8" w:rsidR="002868E2" w:rsidRDefault="002868E2" w:rsidP="00671D9A">
      <w:pPr>
        <w:spacing w:before="240" w:after="0"/>
        <w:rPr>
          <w:rFonts w:cs="Times New Roman"/>
          <w:szCs w:val="24"/>
        </w:rPr>
      </w:pPr>
      <w:r w:rsidRPr="00BD3197">
        <w:rPr>
          <w:rFonts w:cs="Times New Roman"/>
          <w:b/>
          <w:szCs w:val="24"/>
        </w:rPr>
        <w:t xml:space="preserve">* Correspondence: </w:t>
      </w:r>
      <w:r w:rsidR="00671D9A" w:rsidRPr="00BD3197">
        <w:rPr>
          <w:rFonts w:cs="Times New Roman"/>
          <w:b/>
          <w:szCs w:val="24"/>
        </w:rPr>
        <w:br/>
      </w:r>
      <w:r w:rsidRPr="00BD3197">
        <w:rPr>
          <w:rFonts w:cs="Times New Roman"/>
          <w:szCs w:val="24"/>
        </w:rPr>
        <w:t>Corresponding Author</w:t>
      </w:r>
      <w:r w:rsidR="00671D9A" w:rsidRPr="00BD3197">
        <w:rPr>
          <w:rFonts w:cs="Times New Roman"/>
          <w:szCs w:val="24"/>
        </w:rPr>
        <w:br/>
      </w:r>
      <w:hyperlink r:id="rId8" w:history="1">
        <w:r w:rsidR="00E02596" w:rsidRPr="00446F7F">
          <w:rPr>
            <w:rStyle w:val="Hyperlink"/>
            <w:rFonts w:cs="Times New Roman"/>
            <w:szCs w:val="24"/>
          </w:rPr>
          <w:t>francesca.collins@monash.edu</w:t>
        </w:r>
      </w:hyperlink>
    </w:p>
    <w:p w14:paraId="7837AF17" w14:textId="4A474AB7" w:rsidR="00E02596" w:rsidRDefault="002F7A65" w:rsidP="00671D9A">
      <w:pPr>
        <w:spacing w:before="240" w:after="0"/>
        <w:rPr>
          <w:rFonts w:cs="Times New Roman"/>
          <w:szCs w:val="24"/>
        </w:rPr>
      </w:pPr>
      <w:r>
        <w:rPr>
          <w:rFonts w:cs="Times New Roman"/>
          <w:szCs w:val="24"/>
        </w:rPr>
        <w:t xml:space="preserve">Wordcount: </w:t>
      </w:r>
      <w:r w:rsidR="00C21E82">
        <w:rPr>
          <w:rFonts w:cs="Times New Roman"/>
          <w:szCs w:val="24"/>
        </w:rPr>
        <w:t>3</w:t>
      </w:r>
      <w:r w:rsidR="00FC597A">
        <w:rPr>
          <w:rFonts w:cs="Times New Roman"/>
          <w:szCs w:val="24"/>
        </w:rPr>
        <w:t>276</w:t>
      </w:r>
    </w:p>
    <w:p w14:paraId="29752C11" w14:textId="598EED66" w:rsidR="00E02596" w:rsidRPr="00BD3197" w:rsidRDefault="002F7A65" w:rsidP="00671D9A">
      <w:pPr>
        <w:spacing w:before="240" w:after="0"/>
        <w:rPr>
          <w:rFonts w:cs="Times New Roman"/>
          <w:b/>
          <w:szCs w:val="24"/>
        </w:rPr>
      </w:pPr>
      <w:r>
        <w:rPr>
          <w:rFonts w:cs="Times New Roman"/>
          <w:szCs w:val="24"/>
        </w:rPr>
        <w:t xml:space="preserve">Tables: </w:t>
      </w:r>
      <w:r w:rsidR="00E02596">
        <w:rPr>
          <w:rFonts w:cs="Times New Roman"/>
          <w:szCs w:val="24"/>
        </w:rPr>
        <w:t>3</w:t>
      </w:r>
    </w:p>
    <w:p w14:paraId="688EE9ED" w14:textId="770DE5BD" w:rsidR="00EA3D3C" w:rsidRPr="00BD3197" w:rsidRDefault="00817DD6" w:rsidP="00651CA2">
      <w:pPr>
        <w:pStyle w:val="AuthorList"/>
      </w:pPr>
      <w:r w:rsidRPr="00BD3197">
        <w:t xml:space="preserve">Keywords: </w:t>
      </w:r>
      <w:r w:rsidR="006779AE" w:rsidRPr="00BD3197">
        <w:t>COVID-19</w:t>
      </w:r>
      <w:r w:rsidRPr="00BD3197">
        <w:t xml:space="preserve">, </w:t>
      </w:r>
      <w:r w:rsidR="009A149A" w:rsidRPr="00BD3197">
        <w:t>university students</w:t>
      </w:r>
      <w:r w:rsidR="007E4A39" w:rsidRPr="00BD3197">
        <w:t xml:space="preserve">, </w:t>
      </w:r>
      <w:r w:rsidR="00F700B3" w:rsidRPr="00BD3197">
        <w:t>fear</w:t>
      </w:r>
      <w:r w:rsidRPr="00BD3197">
        <w:t xml:space="preserve">, </w:t>
      </w:r>
      <w:r w:rsidR="00DA38F7">
        <w:t>mental health</w:t>
      </w:r>
      <w:r w:rsidRPr="00BD3197">
        <w:t xml:space="preserve">, </w:t>
      </w:r>
      <w:r w:rsidR="00027E9B" w:rsidRPr="00BD3197">
        <w:t>Australia</w:t>
      </w:r>
      <w:r w:rsidR="00EC441F" w:rsidRPr="00BD3197">
        <w:t>, India, Nepal</w:t>
      </w:r>
      <w:r w:rsidR="00197895">
        <w:t>, international students</w:t>
      </w:r>
    </w:p>
    <w:p w14:paraId="0F5200D5" w14:textId="4820BB7C" w:rsidR="00EA3D3C" w:rsidRPr="00376CC5" w:rsidRDefault="007B2941" w:rsidP="00147395">
      <w:pPr>
        <w:rPr>
          <w:b/>
          <w:szCs w:val="24"/>
        </w:rPr>
      </w:pPr>
      <w:r w:rsidRPr="00BD3197">
        <w:rPr>
          <w:szCs w:val="24"/>
        </w:rPr>
        <w:t xml:space="preserve">The present study describes the adaption and validation of a brief measure of contagion-related fear and threat in </w:t>
      </w:r>
      <w:r w:rsidR="00E452D3" w:rsidRPr="00BD3197">
        <w:rPr>
          <w:szCs w:val="24"/>
        </w:rPr>
        <w:t>Aust</w:t>
      </w:r>
      <w:r w:rsidR="00D4467C" w:rsidRPr="00BD3197">
        <w:rPr>
          <w:szCs w:val="24"/>
        </w:rPr>
        <w:t>r</w:t>
      </w:r>
      <w:r w:rsidR="00E452D3" w:rsidRPr="00BD3197">
        <w:rPr>
          <w:szCs w:val="24"/>
        </w:rPr>
        <w:t>alian, Indi</w:t>
      </w:r>
      <w:r w:rsidR="00D4467C" w:rsidRPr="00BD3197">
        <w:rPr>
          <w:szCs w:val="24"/>
        </w:rPr>
        <w:t xml:space="preserve">an, and Nepali </w:t>
      </w:r>
      <w:r w:rsidR="00960835" w:rsidRPr="009173BB">
        <w:rPr>
          <w:szCs w:val="24"/>
        </w:rPr>
        <w:t xml:space="preserve">university </w:t>
      </w:r>
      <w:r w:rsidRPr="009173BB">
        <w:rPr>
          <w:szCs w:val="24"/>
        </w:rPr>
        <w:t xml:space="preserve">students in Australia at the height of the </w:t>
      </w:r>
      <w:r w:rsidR="000566DE">
        <w:rPr>
          <w:szCs w:val="24"/>
        </w:rPr>
        <w:t xml:space="preserve">first wave of the </w:t>
      </w:r>
      <w:r w:rsidRPr="009173BB">
        <w:rPr>
          <w:szCs w:val="24"/>
        </w:rPr>
        <w:t>COVID-19 pandemic. Adapted from Ho</w:t>
      </w:r>
      <w:r w:rsidR="00CA5306">
        <w:rPr>
          <w:szCs w:val="24"/>
        </w:rPr>
        <w:t xml:space="preserve">, Kwong-Lo, </w:t>
      </w:r>
      <w:r w:rsidR="000C2BE0">
        <w:rPr>
          <w:szCs w:val="24"/>
        </w:rPr>
        <w:t>Mak, and Wong’s</w:t>
      </w:r>
      <w:r w:rsidRPr="009173BB">
        <w:rPr>
          <w:szCs w:val="24"/>
        </w:rPr>
        <w:t xml:space="preserve"> </w:t>
      </w:r>
      <w:r w:rsidR="003F383E" w:rsidRPr="009173BB">
        <w:rPr>
          <w:szCs w:val="24"/>
        </w:rPr>
        <w:fldChar w:fldCharType="begin"/>
      </w:r>
      <w:r w:rsidR="003F2FC6">
        <w:rPr>
          <w:szCs w:val="24"/>
        </w:rPr>
        <w:instrText xml:space="preserve"> ADDIN ZOTERO_ITEM CSL_CITATION {"citationID":"uyHwcXnn","properties":{"formattedCitation":"(Ho et al., 2005)","plainCitation":"(Ho et al., 2005)","dontUpdate":true,"noteIndex":0},"citationItems":[{"id":361,"uris":["http://zotero.org/users/6223488/items/KIIKNZC7"],"uri":["http://zotero.org/users/6223488/items/KIIKNZC7"],"itemData":{"id":361,"type":"article-journal","container-title":"Journal of Consulting and Clinical Psychology","DOI":"10.1037/0022-006X.73.2.344","ISSN":"1939-2117, 0022-006X","issue":"2","journalAbbreviation":"Journal of Consulting and Clinical Psychology","language":"en","page":"344-349","source":"DOI.org (Crossref)","title":"Fear of Severe Acute Respiratory Syndrome (SARS) Among Health Care Workers.","URL":"http://doi.apa.org/getdoi.cfm?doi=10.1037/0022-006X.73.2.344","volume":"73","author":[{"family":"Ho","given":"Samuel M. Y."},{"family":"Kwong-Lo","given":"Rosalie S. Y."},{"family":"Mak","given":"Christine W. Y."},{"family":"Wong","given":"Joe S."}],"accessed":{"date-parts":[["2020",5,5]]},"issued":{"date-parts":[["2005",4]]}}}],"schema":"https://github.com/citation-style-language/schema/raw/master/csl-citation.json"} </w:instrText>
      </w:r>
      <w:r w:rsidR="003F383E" w:rsidRPr="009173BB">
        <w:rPr>
          <w:szCs w:val="24"/>
        </w:rPr>
        <w:fldChar w:fldCharType="separate"/>
      </w:r>
      <w:r w:rsidR="001B2E49" w:rsidRPr="001B2E49">
        <w:rPr>
          <w:rFonts w:cs="Times New Roman"/>
        </w:rPr>
        <w:t>(2005)</w:t>
      </w:r>
      <w:r w:rsidR="003F383E" w:rsidRPr="009173BB">
        <w:rPr>
          <w:szCs w:val="24"/>
        </w:rPr>
        <w:fldChar w:fldCharType="end"/>
      </w:r>
      <w:r w:rsidRPr="009173BB">
        <w:rPr>
          <w:szCs w:val="24"/>
        </w:rPr>
        <w:t xml:space="preserve"> SARS</w:t>
      </w:r>
      <w:r w:rsidR="00D9484F">
        <w:rPr>
          <w:szCs w:val="24"/>
        </w:rPr>
        <w:t>-related</w:t>
      </w:r>
      <w:r w:rsidRPr="009173BB">
        <w:rPr>
          <w:szCs w:val="24"/>
        </w:rPr>
        <w:t xml:space="preserve"> fear scale, the Contagion Fear and Threat Scale (CFTS) was </w:t>
      </w:r>
      <w:r w:rsidR="0080312B">
        <w:rPr>
          <w:szCs w:val="24"/>
        </w:rPr>
        <w:t xml:space="preserve">rapidly </w:t>
      </w:r>
      <w:r w:rsidR="007A6ECE">
        <w:rPr>
          <w:szCs w:val="24"/>
        </w:rPr>
        <w:t>adapted</w:t>
      </w:r>
      <w:r w:rsidRPr="009173BB">
        <w:rPr>
          <w:szCs w:val="24"/>
        </w:rPr>
        <w:t xml:space="preserve"> to capture </w:t>
      </w:r>
      <w:r w:rsidR="007228C4">
        <w:rPr>
          <w:szCs w:val="24"/>
        </w:rPr>
        <w:t xml:space="preserve">the experience </w:t>
      </w:r>
      <w:r w:rsidR="0080312B">
        <w:rPr>
          <w:szCs w:val="24"/>
        </w:rPr>
        <w:t xml:space="preserve">of </w:t>
      </w:r>
      <w:r w:rsidRPr="009173BB">
        <w:rPr>
          <w:szCs w:val="24"/>
        </w:rPr>
        <w:t>COVID</w:t>
      </w:r>
      <w:r w:rsidRPr="007B2941">
        <w:rPr>
          <w:szCs w:val="24"/>
        </w:rPr>
        <w:t xml:space="preserve">-19 pandemic-related fear. The </w:t>
      </w:r>
      <w:r w:rsidR="00CF2895">
        <w:rPr>
          <w:szCs w:val="24"/>
        </w:rPr>
        <w:t xml:space="preserve">factor structure and validity of the </w:t>
      </w:r>
      <w:r w:rsidR="001E63DA">
        <w:rPr>
          <w:szCs w:val="24"/>
        </w:rPr>
        <w:t>6</w:t>
      </w:r>
      <w:r w:rsidRPr="007B2941">
        <w:rPr>
          <w:szCs w:val="24"/>
        </w:rPr>
        <w:t xml:space="preserve">-item scale </w:t>
      </w:r>
      <w:r w:rsidR="00CF2895">
        <w:rPr>
          <w:szCs w:val="24"/>
        </w:rPr>
        <w:t xml:space="preserve">were established </w:t>
      </w:r>
      <w:r w:rsidR="00737294">
        <w:rPr>
          <w:szCs w:val="24"/>
        </w:rPr>
        <w:t xml:space="preserve">among </w:t>
      </w:r>
      <w:r w:rsidRPr="007B2941">
        <w:rPr>
          <w:szCs w:val="24"/>
        </w:rPr>
        <w:t>Australian</w:t>
      </w:r>
      <w:r w:rsidR="00737294">
        <w:rPr>
          <w:szCs w:val="24"/>
        </w:rPr>
        <w:t xml:space="preserve"> (</w:t>
      </w:r>
      <w:r w:rsidR="00737294" w:rsidRPr="00737294">
        <w:rPr>
          <w:i/>
          <w:iCs/>
          <w:szCs w:val="24"/>
        </w:rPr>
        <w:t>n</w:t>
      </w:r>
      <w:r w:rsidR="00737294">
        <w:rPr>
          <w:szCs w:val="24"/>
        </w:rPr>
        <w:t>=155)</w:t>
      </w:r>
      <w:r w:rsidRPr="007B2941">
        <w:rPr>
          <w:szCs w:val="24"/>
        </w:rPr>
        <w:t>, Indian</w:t>
      </w:r>
      <w:r w:rsidR="00737294">
        <w:rPr>
          <w:szCs w:val="24"/>
        </w:rPr>
        <w:t xml:space="preserve"> (</w:t>
      </w:r>
      <w:r w:rsidR="00737294" w:rsidRPr="00737294">
        <w:rPr>
          <w:i/>
          <w:iCs/>
          <w:szCs w:val="24"/>
        </w:rPr>
        <w:t>n</w:t>
      </w:r>
      <w:r w:rsidR="00737294">
        <w:rPr>
          <w:szCs w:val="24"/>
        </w:rPr>
        <w:t>=111)</w:t>
      </w:r>
      <w:r w:rsidRPr="007B2941">
        <w:rPr>
          <w:szCs w:val="24"/>
        </w:rPr>
        <w:t xml:space="preserve">, and Nepali </w:t>
      </w:r>
      <w:r w:rsidR="00737294">
        <w:rPr>
          <w:szCs w:val="24"/>
        </w:rPr>
        <w:t>(</w:t>
      </w:r>
      <w:r w:rsidR="00737294" w:rsidRPr="00737294">
        <w:rPr>
          <w:i/>
          <w:iCs/>
          <w:szCs w:val="24"/>
        </w:rPr>
        <w:t>n</w:t>
      </w:r>
      <w:r w:rsidR="00737294">
        <w:rPr>
          <w:szCs w:val="24"/>
        </w:rPr>
        <w:t xml:space="preserve">=148) </w:t>
      </w:r>
      <w:r w:rsidRPr="007B2941">
        <w:rPr>
          <w:szCs w:val="24"/>
        </w:rPr>
        <w:t xml:space="preserve">university students studying in Australia in May-June 2020. Factor analysis revealed two </w:t>
      </w:r>
      <w:r w:rsidR="001E63DA">
        <w:rPr>
          <w:szCs w:val="24"/>
        </w:rPr>
        <w:t>3</w:t>
      </w:r>
      <w:r w:rsidRPr="007B2941">
        <w:rPr>
          <w:szCs w:val="24"/>
        </w:rPr>
        <w:t xml:space="preserve">-item factors in the Australian student sample: Fear of Infection and Existential Threat. These factors were </w:t>
      </w:r>
      <w:r w:rsidR="001E63DA">
        <w:rPr>
          <w:szCs w:val="24"/>
        </w:rPr>
        <w:t xml:space="preserve">confirmed </w:t>
      </w:r>
      <w:r w:rsidRPr="007B2941">
        <w:rPr>
          <w:szCs w:val="24"/>
        </w:rPr>
        <w:t xml:space="preserve">in the Indian </w:t>
      </w:r>
      <w:r w:rsidR="001E63DA">
        <w:rPr>
          <w:szCs w:val="24"/>
        </w:rPr>
        <w:t xml:space="preserve">and Nepali </w:t>
      </w:r>
      <w:r w:rsidRPr="007B2941">
        <w:rPr>
          <w:szCs w:val="24"/>
        </w:rPr>
        <w:t>student sample</w:t>
      </w:r>
      <w:r w:rsidR="001E63DA">
        <w:rPr>
          <w:szCs w:val="24"/>
        </w:rPr>
        <w:t>s</w:t>
      </w:r>
      <w:r w:rsidR="00D867AF">
        <w:rPr>
          <w:szCs w:val="24"/>
        </w:rPr>
        <w:t xml:space="preserve"> and mirror those found by the Ho et al. (2005) in the</w:t>
      </w:r>
      <w:r w:rsidR="00D9484F">
        <w:rPr>
          <w:szCs w:val="24"/>
        </w:rPr>
        <w:t>ir</w:t>
      </w:r>
      <w:r w:rsidR="00D867AF">
        <w:rPr>
          <w:szCs w:val="24"/>
        </w:rPr>
        <w:t xml:space="preserve"> original </w:t>
      </w:r>
      <w:r w:rsidR="00506566">
        <w:rPr>
          <w:szCs w:val="24"/>
        </w:rPr>
        <w:t>instrument.</w:t>
      </w:r>
      <w:r w:rsidRPr="007B2941">
        <w:rPr>
          <w:szCs w:val="24"/>
        </w:rPr>
        <w:t xml:space="preserve"> The convergent and discriminant validity of the full CFTS, Fear</w:t>
      </w:r>
      <w:r w:rsidR="00CD3E15">
        <w:rPr>
          <w:szCs w:val="24"/>
        </w:rPr>
        <w:t xml:space="preserve"> of Infection</w:t>
      </w:r>
      <w:r w:rsidRPr="007B2941">
        <w:rPr>
          <w:szCs w:val="24"/>
        </w:rPr>
        <w:t xml:space="preserve">, and </w:t>
      </w:r>
      <w:r w:rsidR="00CD3E15">
        <w:rPr>
          <w:szCs w:val="24"/>
        </w:rPr>
        <w:t xml:space="preserve">Existential </w:t>
      </w:r>
      <w:r w:rsidRPr="007B2941">
        <w:rPr>
          <w:szCs w:val="24"/>
        </w:rPr>
        <w:t>Threat scales are indicated via correlations with established measures of depression, anxiety, stress</w:t>
      </w:r>
      <w:r w:rsidR="00B77292">
        <w:rPr>
          <w:szCs w:val="24"/>
        </w:rPr>
        <w:t xml:space="preserve">, </w:t>
      </w:r>
      <w:r w:rsidRPr="007B2941">
        <w:rPr>
          <w:szCs w:val="24"/>
        </w:rPr>
        <w:t>subjective wellbeing</w:t>
      </w:r>
      <w:r w:rsidR="00B77292">
        <w:rPr>
          <w:szCs w:val="24"/>
        </w:rPr>
        <w:t>, and religiosity</w:t>
      </w:r>
      <w:r w:rsidR="00506566">
        <w:rPr>
          <w:szCs w:val="24"/>
        </w:rPr>
        <w:t>.</w:t>
      </w:r>
      <w:r w:rsidR="0097428F">
        <w:rPr>
          <w:szCs w:val="24"/>
        </w:rPr>
        <w:t xml:space="preserve"> </w:t>
      </w:r>
      <w:r w:rsidR="009F6CF7">
        <w:rPr>
          <w:szCs w:val="24"/>
        </w:rPr>
        <w:t xml:space="preserve">Differences in the performance of the Fear </w:t>
      </w:r>
      <w:r w:rsidR="00CD3E15">
        <w:rPr>
          <w:szCs w:val="24"/>
        </w:rPr>
        <w:t xml:space="preserve">of Infection </w:t>
      </w:r>
      <w:r w:rsidR="009F6CF7">
        <w:rPr>
          <w:szCs w:val="24"/>
        </w:rPr>
        <w:t xml:space="preserve">and </w:t>
      </w:r>
      <w:r w:rsidR="009778C1">
        <w:rPr>
          <w:szCs w:val="24"/>
        </w:rPr>
        <w:t xml:space="preserve">Existential </w:t>
      </w:r>
      <w:r w:rsidR="009F6CF7">
        <w:rPr>
          <w:szCs w:val="24"/>
        </w:rPr>
        <w:t xml:space="preserve">Threat scales are considered in terms of the </w:t>
      </w:r>
      <w:r w:rsidR="009778C1">
        <w:rPr>
          <w:szCs w:val="24"/>
        </w:rPr>
        <w:t xml:space="preserve">respective </w:t>
      </w:r>
      <w:r w:rsidR="009F6CF7">
        <w:rPr>
          <w:szCs w:val="24"/>
        </w:rPr>
        <w:t xml:space="preserve">objective and subjective nature of the </w:t>
      </w:r>
      <w:r w:rsidR="00014FFE">
        <w:rPr>
          <w:szCs w:val="24"/>
        </w:rPr>
        <w:t>constructs</w:t>
      </w:r>
      <w:r w:rsidR="00E100AD">
        <w:rPr>
          <w:szCs w:val="24"/>
        </w:rPr>
        <w:t>.</w:t>
      </w:r>
    </w:p>
    <w:p w14:paraId="57F6A29A" w14:textId="77777777" w:rsidR="00EA3D3C" w:rsidRPr="00376CC5" w:rsidRDefault="00EA3D3C" w:rsidP="001934E3">
      <w:pPr>
        <w:pStyle w:val="Heading1"/>
      </w:pPr>
      <w:r w:rsidRPr="001934E3">
        <w:t>Introduction</w:t>
      </w:r>
    </w:p>
    <w:p w14:paraId="3DC541A9" w14:textId="13F4A67A" w:rsidR="00C82A8C" w:rsidRPr="0051406C" w:rsidRDefault="00C82A8C" w:rsidP="00C82A8C">
      <w:pPr>
        <w:rPr>
          <w:szCs w:val="24"/>
        </w:rPr>
      </w:pPr>
      <w:r w:rsidRPr="0051406C">
        <w:rPr>
          <w:szCs w:val="24"/>
        </w:rPr>
        <w:t xml:space="preserve">It is well-established that Australian university students report poorer mental health than the general Australian population </w:t>
      </w:r>
      <w:r w:rsidRPr="00BF33AA">
        <w:rPr>
          <w:szCs w:val="24"/>
        </w:rPr>
        <w:fldChar w:fldCharType="begin"/>
      </w:r>
      <w:r w:rsidRPr="00BF33AA">
        <w:rPr>
          <w:szCs w:val="24"/>
        </w:rPr>
        <w:instrText xml:space="preserve"> ADDIN ZOTERO_ITEM CSL_CITATION {"citationID":"wLY1bKyL","properties":{"formattedCitation":"(Stallman et al., 2019)","plainCitation":"(Stallman et al., 2019)","noteIndex":0},"citationItems":[{"id":579,"uris":["http://zotero.org/users/6223488/items/3WJ28RQA"],"uri":["http://zotero.org/users/6223488/items/3WJ28RQA"],"itemData":{"id":579,"type":"article-journal","abstract":"Objective: University students experience high rates of distress and place increasing demands on provisions of support. Web-based interventions may provide a low-cost, accessible low intensity format to support students to make changes to improve their health and wellbeing.\nMethod: This study evaluated the efficacy of two web-based interventions in the lead-up to final exams: one on general mental health (thedesk) and one specifically focused on coping with distress (Care Á Collaborate Á Connect: Student Success). Because most students believe that stress is a normal part of the student experience (which might inhibit the effectiveness of support that is provided), we hypothesised that a program emphasising coping with stress would be more effective than a general program. Participants were 70 students with self-reported elevated levels of psychological distress who were randomly assigned to one of the two programs.\nResults: Contrary to predictions, both groups had significant reductions in distress (Cohen's ds = 0.54 and 0.67, respectively). Participants in the coping intervention reported making significantly more changes and using specific coping strategies at follow-up.\nConclusion: These results suggest that web-based interventions are effective in supporting students and improving emotional regulation.","container-title":"Australian Psychologist","DOI":"10.1111/ap.12375","ISSN":"0005-0067, 1742-9544","issue":"2","journalAbbreviation":"Aust Psychol","language":"en","page":"125-131","source":"DOI.org (Crossref)","title":"Reducing distress in university students: A randomised control trial of two online interventions","title-short":"Reducing distress in university students","URL":"https://onlinelibrary.wiley.com/doi/abs/10.1111/ap.12375","volume":"54","author":[{"family":"Stallman","given":"Helen M."},{"family":"Ohan","given":"Jeneva L."},{"family":"Chiera","given":"Belinda"}],"accessed":{"date-parts":[["2020",7,6]]},"issued":{"date-parts":[["2019",4]]}}}],"schema":"https://github.com/citation-style-language/schema/raw/master/csl-citation.json"} </w:instrText>
      </w:r>
      <w:r w:rsidRPr="00BF33AA">
        <w:rPr>
          <w:szCs w:val="24"/>
        </w:rPr>
        <w:fldChar w:fldCharType="separate"/>
      </w:r>
      <w:r w:rsidRPr="00BF33AA">
        <w:rPr>
          <w:rFonts w:cs="Times New Roman"/>
        </w:rPr>
        <w:t>(Stallman et al., 2019)</w:t>
      </w:r>
      <w:r w:rsidRPr="00BF33AA">
        <w:rPr>
          <w:szCs w:val="24"/>
        </w:rPr>
        <w:fldChar w:fldCharType="end"/>
      </w:r>
      <w:r w:rsidRPr="00BF33AA">
        <w:rPr>
          <w:szCs w:val="24"/>
        </w:rPr>
        <w:t>. International university students in Australia report</w:t>
      </w:r>
      <w:r w:rsidRPr="0051406C">
        <w:rPr>
          <w:szCs w:val="24"/>
        </w:rPr>
        <w:t xml:space="preserve"> even poorer mental health than their domestic counterparts, especially in relation to financial stress, loneliness, depression, and </w:t>
      </w:r>
      <w:r w:rsidRPr="00AB6EDD">
        <w:rPr>
          <w:szCs w:val="24"/>
        </w:rPr>
        <w:t xml:space="preserve">anxiety </w:t>
      </w:r>
      <w:r w:rsidRPr="00AB6EDD">
        <w:rPr>
          <w:szCs w:val="24"/>
        </w:rPr>
        <w:fldChar w:fldCharType="begin"/>
      </w:r>
      <w:r>
        <w:rPr>
          <w:szCs w:val="24"/>
        </w:rPr>
        <w:instrText xml:space="preserve"> ADDIN ZOTERO_ITEM CSL_CITATION {"citationID":"GfwFESSG","properties":{"formattedCitation":"(H. Forbes-Mewett, 2019)","plainCitation":"(H. Forbes-Mewett, 2019)","dontUpdate":true,"noteIndex":0},"citationItems":[{"id":3,"uris":["http://zotero.org/users/6223488/items/7F8K6AQK"],"uri":["http://zotero.org/users/6223488/items/7F8K6AQK"],"itemData":{"id":3,"type":"report","collection-title":"Research Digest 15","event-place":"Melbourne","language":"en","page":"17","publisher":"International Education Association of Australia","publisher-place":"Melbourne","source":"Zotero","title":"Mental health and international students: Issues, challenges and effective practice","title-short":"Mental health and international students","URL":"https://www.ieaa.org.au/documents/item/1616","author":[{"family":"Forbes-Mewett","given":"Helen"}],"issued":{"date-parts":[["2019"]]}}}],"schema":"https://github.com/citation-style-language/schema/raw/master/csl-citation.json"} </w:instrText>
      </w:r>
      <w:r w:rsidRPr="00AB6EDD">
        <w:rPr>
          <w:szCs w:val="24"/>
        </w:rPr>
        <w:fldChar w:fldCharType="separate"/>
      </w:r>
      <w:r w:rsidRPr="00AB6EDD">
        <w:rPr>
          <w:rFonts w:cs="Times New Roman"/>
        </w:rPr>
        <w:t>(Forbes-Mewett, 2019)</w:t>
      </w:r>
      <w:r w:rsidRPr="00AB6EDD">
        <w:rPr>
          <w:szCs w:val="24"/>
        </w:rPr>
        <w:fldChar w:fldCharType="end"/>
      </w:r>
      <w:r w:rsidRPr="00AB6EDD">
        <w:rPr>
          <w:szCs w:val="24"/>
        </w:rPr>
        <w:t>. International</w:t>
      </w:r>
      <w:r w:rsidRPr="0051406C">
        <w:rPr>
          <w:szCs w:val="24"/>
        </w:rPr>
        <w:t xml:space="preserve"> education is Australia’s </w:t>
      </w:r>
      <w:r w:rsidR="00065B45">
        <w:rPr>
          <w:szCs w:val="24"/>
        </w:rPr>
        <w:t xml:space="preserve">fourth </w:t>
      </w:r>
      <w:r w:rsidRPr="0051406C">
        <w:rPr>
          <w:szCs w:val="24"/>
        </w:rPr>
        <w:t xml:space="preserve">largest export and, in 2019, the country welcomed 758,154 international students to its </w:t>
      </w:r>
      <w:r w:rsidRPr="00765F71">
        <w:rPr>
          <w:szCs w:val="24"/>
        </w:rPr>
        <w:t xml:space="preserve">shores </w:t>
      </w:r>
      <w:r w:rsidRPr="00765F71">
        <w:rPr>
          <w:szCs w:val="24"/>
        </w:rPr>
        <w:fldChar w:fldCharType="begin"/>
      </w:r>
      <w:r>
        <w:rPr>
          <w:szCs w:val="24"/>
        </w:rPr>
        <w:instrText xml:space="preserve"> ADDIN ZOTERO_ITEM CSL_CITATION {"citationID":"pTApEuhv","properties":{"formattedCitation":"(Australian Government Department of Education, 2019)","plainCitation":"(Australian Government Department of Education, 2019)","noteIndex":0},"citationItems":[{"id":571,"uris":["http://zotero.org/users/6223488/items/X5WV2ERU"],"uri":["http://zotero.org/users/6223488/items/X5WV2ERU"],"itemData":{"id":571,"type":"report","publisher":"Australian Government Department of Education","title":"December 2019 end of year summary","URL":"https://internationaleducation.gov.au/research/International-Student-Data/Documents/MONTHLY%20SUMMARIES/2019/December%202019%20End%20of%20year%20summary.pdf","author":[{"family":"Australian Government Department of Education","given":""}],"issued":{"date-parts":[["2019"]]}}}],"schema":"https://github.com/citation-style-language/schema/raw/master/csl-citation.json"} </w:instrText>
      </w:r>
      <w:r w:rsidRPr="00765F71">
        <w:rPr>
          <w:szCs w:val="24"/>
        </w:rPr>
        <w:fldChar w:fldCharType="separate"/>
      </w:r>
      <w:r w:rsidRPr="001B2E49">
        <w:rPr>
          <w:rFonts w:cs="Times New Roman"/>
        </w:rPr>
        <w:t>(Australian Government Department of Education, 2019)</w:t>
      </w:r>
      <w:r w:rsidRPr="00765F71">
        <w:rPr>
          <w:szCs w:val="24"/>
        </w:rPr>
        <w:fldChar w:fldCharType="end"/>
      </w:r>
      <w:r w:rsidR="004A394E">
        <w:rPr>
          <w:szCs w:val="24"/>
        </w:rPr>
        <w:t xml:space="preserve">. </w:t>
      </w:r>
      <w:r w:rsidR="00787F3E">
        <w:rPr>
          <w:szCs w:val="24"/>
        </w:rPr>
        <w:t xml:space="preserve">In </w:t>
      </w:r>
      <w:r w:rsidR="000E38C2">
        <w:rPr>
          <w:szCs w:val="24"/>
        </w:rPr>
        <w:t xml:space="preserve">accepting </w:t>
      </w:r>
      <w:r w:rsidR="00580B8E">
        <w:rPr>
          <w:szCs w:val="24"/>
        </w:rPr>
        <w:t xml:space="preserve">their </w:t>
      </w:r>
      <w:r w:rsidR="00787F3E">
        <w:rPr>
          <w:szCs w:val="24"/>
        </w:rPr>
        <w:t xml:space="preserve">cultural </w:t>
      </w:r>
      <w:r w:rsidR="000E38C2">
        <w:rPr>
          <w:szCs w:val="24"/>
        </w:rPr>
        <w:t xml:space="preserve">and </w:t>
      </w:r>
      <w:r w:rsidR="00787F3E">
        <w:rPr>
          <w:szCs w:val="24"/>
        </w:rPr>
        <w:t>econ</w:t>
      </w:r>
      <w:r w:rsidR="00E83BF3">
        <w:rPr>
          <w:szCs w:val="24"/>
        </w:rPr>
        <w:t xml:space="preserve">omic contribution to </w:t>
      </w:r>
      <w:r w:rsidR="000E38C2">
        <w:rPr>
          <w:szCs w:val="24"/>
        </w:rPr>
        <w:t xml:space="preserve">the country, </w:t>
      </w:r>
      <w:r w:rsidR="00E83BF3">
        <w:rPr>
          <w:szCs w:val="24"/>
        </w:rPr>
        <w:t xml:space="preserve">Australia </w:t>
      </w:r>
      <w:r w:rsidR="000E38C2">
        <w:rPr>
          <w:szCs w:val="24"/>
        </w:rPr>
        <w:t xml:space="preserve">is obliged to </w:t>
      </w:r>
      <w:r w:rsidR="00C24BF5">
        <w:rPr>
          <w:szCs w:val="24"/>
        </w:rPr>
        <w:t xml:space="preserve">actively </w:t>
      </w:r>
      <w:r w:rsidR="00580B8E">
        <w:rPr>
          <w:szCs w:val="24"/>
        </w:rPr>
        <w:t xml:space="preserve">support </w:t>
      </w:r>
      <w:r w:rsidR="00C24BF5">
        <w:rPr>
          <w:szCs w:val="24"/>
        </w:rPr>
        <w:t xml:space="preserve">international students’ </w:t>
      </w:r>
      <w:r w:rsidR="000B6EE4">
        <w:rPr>
          <w:szCs w:val="24"/>
        </w:rPr>
        <w:t>psychological wellbeing</w:t>
      </w:r>
      <w:r w:rsidR="00580B8E">
        <w:rPr>
          <w:szCs w:val="24"/>
        </w:rPr>
        <w:t>.</w:t>
      </w:r>
    </w:p>
    <w:p w14:paraId="1D288B5C" w14:textId="73B136E1" w:rsidR="00C82A8C" w:rsidRPr="0051406C" w:rsidRDefault="00C82A8C" w:rsidP="00C82A8C">
      <w:pPr>
        <w:rPr>
          <w:szCs w:val="24"/>
        </w:rPr>
      </w:pPr>
      <w:r w:rsidRPr="0051406C">
        <w:rPr>
          <w:szCs w:val="24"/>
        </w:rPr>
        <w:t xml:space="preserve">On 12 March 2020, the World health Authority declared the </w:t>
      </w:r>
      <w:r>
        <w:rPr>
          <w:szCs w:val="24"/>
        </w:rPr>
        <w:t xml:space="preserve">COVID-19 </w:t>
      </w:r>
      <w:r w:rsidRPr="0051406C">
        <w:rPr>
          <w:szCs w:val="24"/>
        </w:rPr>
        <w:t xml:space="preserve">outbreak a pandemic and by 23 March Australia had entered lockdown. Strict social-distancing measures were implemented, international borders were closed, and universities across the country shifted from on-campus delivery to online delivery </w:t>
      </w:r>
      <w:r w:rsidRPr="009B5791">
        <w:rPr>
          <w:szCs w:val="24"/>
        </w:rPr>
        <w:fldChar w:fldCharType="begin"/>
      </w:r>
      <w:r>
        <w:rPr>
          <w:szCs w:val="24"/>
        </w:rPr>
        <w:instrText xml:space="preserve"> ADDIN ZOTERO_ITEM CSL_CITATION {"citationID":"ksNKayFe","properties":{"formattedCitation":"(Ting &amp; Palmer, 2020)","plainCitation":"(Ting &amp; Palmer, 2020)","noteIndex":0},"citationItems":[{"id":576,"uris":["http://zotero.org/users/6223488/items/F3RGPZZA"],"uri":["http://zotero.org/users/6223488/items/F3RGPZZA"],"itemData":{"id":576,"type":"webpage","abstract":"100 days since Australia's first known case, we appear to have avoided a full-blown crisis. This data shows how we did it.","container-title":"ABC News","genre":"Text","language":"en-AU","note":"Last Modified: 2020-05-05T00:49:00+1000\nsource: www.abc.net.au","title":"One hundred days of the coronavirus crisis","title-short":"One hundred days of the coronavirus crisis","URL":"https://www.abc.net.au/news/2020-05-04/charting-100-days-of-the-coronavirus-crisis-in-australia/12197884","author":[{"family":"Ting","given":"Inga"},{"family":"Palmer","given":"Alex"}],"accessed":{"date-parts":[["2020",7,6]]},"issued":{"date-parts":[["2020",5,4]]}}}],"schema":"https://github.com/citation-style-language/schema/raw/master/csl-citation.json"} </w:instrText>
      </w:r>
      <w:r w:rsidRPr="009B5791">
        <w:rPr>
          <w:szCs w:val="24"/>
        </w:rPr>
        <w:fldChar w:fldCharType="separate"/>
      </w:r>
      <w:r w:rsidRPr="009B5791">
        <w:rPr>
          <w:rFonts w:cs="Times New Roman"/>
        </w:rPr>
        <w:t>(Ting &amp; Palmer, 2020)</w:t>
      </w:r>
      <w:r w:rsidRPr="009B5791">
        <w:rPr>
          <w:szCs w:val="24"/>
        </w:rPr>
        <w:fldChar w:fldCharType="end"/>
      </w:r>
      <w:r w:rsidRPr="009B5791">
        <w:rPr>
          <w:szCs w:val="24"/>
        </w:rPr>
        <w:t xml:space="preserve">. While some restrictions loosened </w:t>
      </w:r>
      <w:r w:rsidRPr="009B5791">
        <w:rPr>
          <w:szCs w:val="24"/>
        </w:rPr>
        <w:lastRenderedPageBreak/>
        <w:t>in some domains in early June</w:t>
      </w:r>
      <w:r w:rsidRPr="0051406C">
        <w:rPr>
          <w:szCs w:val="24"/>
        </w:rPr>
        <w:t xml:space="preserve"> 2020 (e.g., hospitality, primary and secondary education), the restrictions regarding social-distancing, international borders</w:t>
      </w:r>
      <w:r w:rsidR="00C24BF5">
        <w:rPr>
          <w:szCs w:val="24"/>
        </w:rPr>
        <w:t>,</w:t>
      </w:r>
      <w:r w:rsidRPr="0051406C">
        <w:rPr>
          <w:szCs w:val="24"/>
        </w:rPr>
        <w:t xml:space="preserve"> and universities remain in place. </w:t>
      </w:r>
    </w:p>
    <w:p w14:paraId="6D038C8F" w14:textId="43317207" w:rsidR="00C82A8C" w:rsidRPr="0051406C" w:rsidRDefault="00C82A8C" w:rsidP="00C82A8C">
      <w:pPr>
        <w:rPr>
          <w:szCs w:val="24"/>
        </w:rPr>
      </w:pPr>
      <w:r w:rsidRPr="0051406C">
        <w:rPr>
          <w:szCs w:val="24"/>
        </w:rPr>
        <w:t xml:space="preserve">The impact of the lockdown on university students in Australia was immediate and significant. Campuses shut down with little warning and the main sources of part-time employment for university students – hospitality and retail – </w:t>
      </w:r>
      <w:r w:rsidR="00C24BF5">
        <w:rPr>
          <w:szCs w:val="24"/>
        </w:rPr>
        <w:t>quickly</w:t>
      </w:r>
      <w:r w:rsidRPr="0051406C">
        <w:rPr>
          <w:szCs w:val="24"/>
        </w:rPr>
        <w:t xml:space="preserve"> dried up. The impact was compounded for international students </w:t>
      </w:r>
      <w:r w:rsidR="00F126C6">
        <w:rPr>
          <w:szCs w:val="24"/>
        </w:rPr>
        <w:t xml:space="preserve">in Australia </w:t>
      </w:r>
      <w:r w:rsidRPr="0051406C">
        <w:rPr>
          <w:szCs w:val="24"/>
        </w:rPr>
        <w:t xml:space="preserve">who were geographically separated from their support networks and faced enormous financial and housing </w:t>
      </w:r>
      <w:r w:rsidRPr="00682914">
        <w:rPr>
          <w:szCs w:val="24"/>
        </w:rPr>
        <w:t xml:space="preserve">stress </w:t>
      </w:r>
      <w:r>
        <w:rPr>
          <w:szCs w:val="24"/>
        </w:rPr>
        <w:fldChar w:fldCharType="begin"/>
      </w:r>
      <w:r>
        <w:rPr>
          <w:szCs w:val="24"/>
        </w:rPr>
        <w:instrText xml:space="preserve"> ADDIN ZOTERO_ITEM CSL_CITATION {"citationID":"TtPPKtUf","properties":{"formattedCitation":"(Soong &amp; Procter, 2020)","plainCitation":"(Soong &amp; Procter, 2020)","noteIndex":0},"citationItems":[{"id":580,"uris":["http://zotero.org/users/6223488/items/ETG4BS2J"],"uri":["http://zotero.org/users/6223488/items/ETG4BS2J"],"itemData":{"id":580,"type":"webpage","abstract":"Even before this pandemic, international students were exposed to several unique hardships. These are compounded by COVID-19.","container-title":"The Conversation","language":"en","note":"source: theconversation.com","title":"COVID-19 increases risk to international students' mental health. Australia urgently needs to step up","URL":"http://theconversation.com/covid-19-increases-risk-to-international-students-mental-health-australia-urgently-needs-to-step-up-137596","author":[{"family":"Soong","given":"Hannah"},{"family":"Procter","given":"Nicholas"}],"accessed":{"date-parts":[["2020",7,6]]},"issued":{"date-parts":[["2020"]]}}}],"schema":"https://github.com/citation-style-language/schema/raw/master/csl-citation.json"} </w:instrText>
      </w:r>
      <w:r>
        <w:rPr>
          <w:szCs w:val="24"/>
        </w:rPr>
        <w:fldChar w:fldCharType="separate"/>
      </w:r>
      <w:r w:rsidRPr="00DE7427">
        <w:rPr>
          <w:rFonts w:cs="Times New Roman"/>
        </w:rPr>
        <w:t>(Soong &amp; Procter, 2020)</w:t>
      </w:r>
      <w:r>
        <w:rPr>
          <w:szCs w:val="24"/>
        </w:rPr>
        <w:fldChar w:fldCharType="end"/>
      </w:r>
      <w:r w:rsidRPr="00682914">
        <w:rPr>
          <w:szCs w:val="24"/>
        </w:rPr>
        <w:t>.</w:t>
      </w:r>
    </w:p>
    <w:p w14:paraId="31E8A62B" w14:textId="77777777" w:rsidR="005B100B" w:rsidRDefault="005B100B" w:rsidP="0048545C">
      <w:pPr>
        <w:pStyle w:val="Heading3"/>
      </w:pPr>
      <w:r>
        <w:t>Measuring contagion-related psychological responses</w:t>
      </w:r>
    </w:p>
    <w:p w14:paraId="5194524B" w14:textId="35DC99EF" w:rsidR="0048545C" w:rsidRPr="0051406C" w:rsidRDefault="0048545C" w:rsidP="0048545C">
      <w:pPr>
        <w:rPr>
          <w:szCs w:val="24"/>
        </w:rPr>
      </w:pPr>
      <w:r w:rsidRPr="0051406C">
        <w:rPr>
          <w:szCs w:val="24"/>
        </w:rPr>
        <w:t xml:space="preserve">The </w:t>
      </w:r>
      <w:r>
        <w:rPr>
          <w:szCs w:val="24"/>
        </w:rPr>
        <w:t>Australian l</w:t>
      </w:r>
      <w:r w:rsidRPr="0051406C">
        <w:rPr>
          <w:szCs w:val="24"/>
        </w:rPr>
        <w:t xml:space="preserve">ockdown commenced </w:t>
      </w:r>
      <w:r>
        <w:rPr>
          <w:szCs w:val="24"/>
        </w:rPr>
        <w:t xml:space="preserve">shortly </w:t>
      </w:r>
      <w:r w:rsidRPr="0051406C">
        <w:rPr>
          <w:szCs w:val="24"/>
        </w:rPr>
        <w:t xml:space="preserve">before the </w:t>
      </w:r>
      <w:r>
        <w:rPr>
          <w:szCs w:val="24"/>
        </w:rPr>
        <w:t xml:space="preserve">author was to commence a broad investigation into the psychological wellbeing of domestic and international students in Australia. </w:t>
      </w:r>
      <w:r w:rsidR="00BA1B3E">
        <w:rPr>
          <w:szCs w:val="24"/>
        </w:rPr>
        <w:t xml:space="preserve">A </w:t>
      </w:r>
      <w:r w:rsidR="00802626">
        <w:rPr>
          <w:szCs w:val="24"/>
        </w:rPr>
        <w:t>contagion</w:t>
      </w:r>
      <w:r w:rsidRPr="0051406C">
        <w:rPr>
          <w:szCs w:val="24"/>
        </w:rPr>
        <w:t xml:space="preserve">-related psychological </w:t>
      </w:r>
      <w:r>
        <w:rPr>
          <w:szCs w:val="24"/>
        </w:rPr>
        <w:t xml:space="preserve">response </w:t>
      </w:r>
      <w:r w:rsidRPr="0051406C">
        <w:rPr>
          <w:szCs w:val="24"/>
        </w:rPr>
        <w:t>measure</w:t>
      </w:r>
      <w:r w:rsidR="00551956">
        <w:rPr>
          <w:szCs w:val="24"/>
        </w:rPr>
        <w:t xml:space="preserve"> </w:t>
      </w:r>
      <w:r w:rsidR="00BA1B3E">
        <w:rPr>
          <w:szCs w:val="24"/>
        </w:rPr>
        <w:t xml:space="preserve">was needed </w:t>
      </w:r>
      <w:r w:rsidR="0046155C">
        <w:rPr>
          <w:szCs w:val="24"/>
        </w:rPr>
        <w:t>to measure</w:t>
      </w:r>
      <w:r w:rsidR="00F93164">
        <w:rPr>
          <w:szCs w:val="24"/>
        </w:rPr>
        <w:t>,</w:t>
      </w:r>
      <w:r w:rsidR="0046155C">
        <w:rPr>
          <w:szCs w:val="24"/>
        </w:rPr>
        <w:t xml:space="preserve"> and determine the impact of</w:t>
      </w:r>
      <w:r w:rsidR="00F93164">
        <w:rPr>
          <w:szCs w:val="24"/>
        </w:rPr>
        <w:t>,</w:t>
      </w:r>
      <w:r w:rsidR="0046155C">
        <w:rPr>
          <w:szCs w:val="24"/>
        </w:rPr>
        <w:t xml:space="preserve"> </w:t>
      </w:r>
      <w:r w:rsidR="00551956">
        <w:rPr>
          <w:szCs w:val="24"/>
        </w:rPr>
        <w:t xml:space="preserve">the pandemic </w:t>
      </w:r>
      <w:r w:rsidR="00327AD5">
        <w:rPr>
          <w:szCs w:val="24"/>
        </w:rPr>
        <w:t xml:space="preserve">on </w:t>
      </w:r>
      <w:r w:rsidR="0046155C">
        <w:rPr>
          <w:szCs w:val="24"/>
        </w:rPr>
        <w:t xml:space="preserve">university students’ </w:t>
      </w:r>
      <w:r w:rsidR="00327AD5">
        <w:rPr>
          <w:szCs w:val="24"/>
        </w:rPr>
        <w:t>psychological wellbeing</w:t>
      </w:r>
      <w:r w:rsidRPr="0051406C">
        <w:rPr>
          <w:szCs w:val="24"/>
        </w:rPr>
        <w:t>.</w:t>
      </w:r>
      <w:r>
        <w:rPr>
          <w:szCs w:val="24"/>
        </w:rPr>
        <w:t xml:space="preserve"> </w:t>
      </w:r>
    </w:p>
    <w:p w14:paraId="03243F1B" w14:textId="209F565C" w:rsidR="0048545C" w:rsidRDefault="0048545C" w:rsidP="0048545C">
      <w:pPr>
        <w:rPr>
          <w:szCs w:val="24"/>
        </w:rPr>
      </w:pPr>
      <w:r w:rsidRPr="0051406C">
        <w:rPr>
          <w:szCs w:val="24"/>
        </w:rPr>
        <w:t xml:space="preserve">Interest in psychological responses to </w:t>
      </w:r>
      <w:r w:rsidR="00A53BD0">
        <w:rPr>
          <w:szCs w:val="24"/>
        </w:rPr>
        <w:t>contagion</w:t>
      </w:r>
      <w:r w:rsidRPr="0051406C">
        <w:rPr>
          <w:szCs w:val="24"/>
        </w:rPr>
        <w:t xml:space="preserve"> has increased in the early 21st century in the wake of Severe Acute </w:t>
      </w:r>
      <w:r w:rsidRPr="00990708">
        <w:rPr>
          <w:szCs w:val="24"/>
        </w:rPr>
        <w:t>Respiratory Syndrome (SARS), Middle East Respiratory Syndrome, and Ebola outbreaks</w:t>
      </w:r>
      <w:r>
        <w:rPr>
          <w:szCs w:val="24"/>
        </w:rPr>
        <w:t xml:space="preserve"> </w:t>
      </w:r>
      <w:r>
        <w:rPr>
          <w:szCs w:val="24"/>
        </w:rPr>
        <w:fldChar w:fldCharType="begin"/>
      </w:r>
      <w:r>
        <w:rPr>
          <w:szCs w:val="24"/>
        </w:rPr>
        <w:instrText xml:space="preserve"> ADDIN ZOTERO_ITEM CSL_CITATION {"citationID":"ZFQoyt27","properties":{"formattedCitation":"(World Health Organization, n.d.)","plainCitation":"(World Health Organization, n.d.)","noteIndex":0},"citationItems":[{"id":574,"uris":["http://zotero.org/users/6223488/items/ZVERLLT3"],"uri":["http://zotero.org/users/6223488/items/ZVERLLT3"],"itemData":{"id":574,"type":"webpage","abstract":"WHO’s primary role is to direct and coordinate international health within the United Nations’ system. WHO main areas of work include: health systems, promoting health through the life-course, noncommunicable diseases, communicable diseases, corporate services, preparedness, surveillance and response.","container-title":"WHO Disease outbreaks","note":"source: www.who.int\npublisher: World Health Organization","title":"WHO Disease outbreaks","URL":"http://www.who.int/emergencies/diseases/en/","author":[{"family":"World Health Organization","given":""}],"accessed":{"date-parts":[["2020",7,6]]}}}],"schema":"https://github.com/citation-style-language/schema/raw/master/csl-citation.json"} </w:instrText>
      </w:r>
      <w:r>
        <w:rPr>
          <w:szCs w:val="24"/>
        </w:rPr>
        <w:fldChar w:fldCharType="separate"/>
      </w:r>
      <w:r w:rsidRPr="00B85880">
        <w:rPr>
          <w:rFonts w:cs="Times New Roman"/>
        </w:rPr>
        <w:t>(World Health Organization, n.d.)</w:t>
      </w:r>
      <w:r>
        <w:rPr>
          <w:szCs w:val="24"/>
        </w:rPr>
        <w:fldChar w:fldCharType="end"/>
      </w:r>
      <w:r w:rsidRPr="00990708">
        <w:rPr>
          <w:szCs w:val="24"/>
        </w:rPr>
        <w:t xml:space="preserve">. Compared to other health threats, contagion engenders fear because of its imminence, invisibility, and transmissibility </w:t>
      </w:r>
      <w:r w:rsidRPr="00990708">
        <w:rPr>
          <w:szCs w:val="24"/>
        </w:rPr>
        <w:fldChar w:fldCharType="begin"/>
      </w:r>
      <w:r w:rsidRPr="00990708">
        <w:rPr>
          <w:szCs w:val="24"/>
        </w:rPr>
        <w:instrText xml:space="preserve"> ADDIN ZOTERO_ITEM CSL_CITATION {"citationID":"RctN2k6E","properties":{"formattedCitation":"(Pappas et al., 2009)","plainCitation":"(Pappas et al., 2009)","noteIndex":0},"citationItems":[{"id":480,"uris":["http://zotero.org/users/6223488/items/M98ULLWJ"],"uri":["http://zotero.org/users/6223488/items/M98ULLWJ"],"itemData":{"id":480,"type":"article-journal","abstract":"Historically, there has been an exaggerated fear related to infection compared to other conditions. Infection possesses unique characteristics that account for this disproportionate degree of fear: it is transmitted rapidly and invisibly; historically, it has accounted for major morbidity and mortality; old forms re-emerge and new forms emerge; and both the media and society are often in awe. Because, in an outbreak, the patient is both a victim and a vector, and because there exists the potential for infringement of personal rights in order to control an outbreak, infection may be viewed (and has been depicted in popular culture) as a foreign invasion. During recent outbreaks, fear, denial, stigmatization and loss have been recorded in the implicated individuals. Stigmatization and discrimination may further involve ethical correlations, and attempts to adress these issues through activism may also have unwarranted effects. Public health initiatives can address the public’s fears by increasing health literacy, which can contribute to reducing stigmatization.","container-title":"Clinical Microbiology and Infection","DOI":"10.1111/j.1469-0691.2009.02947.x","ISSN":"1198743X","issue":"8","journalAbbreviation":"Clinical Microbiology and Infection","language":"en","page":"743-747","source":"DOI.org (Crossref)","title":"Psychosocial consequences of infectious diseases","URL":"https://linkinghub.elsevier.com/retrieve/pii/S1198743X14604614","volume":"15","author":[{"family":"Pappas","given":"G."},{"family":"Kiriaze","given":"I.J."},{"family":"Giannakis","given":"P."},{"family":"Falagas","given":"M.E."}],"accessed":{"date-parts":[["2020",6,17]]},"issued":{"date-parts":[["2009",8]]}}}],"schema":"https://github.com/citation-style-language/schema/raw/master/csl-citation.json"} </w:instrText>
      </w:r>
      <w:r w:rsidRPr="00990708">
        <w:rPr>
          <w:szCs w:val="24"/>
        </w:rPr>
        <w:fldChar w:fldCharType="separate"/>
      </w:r>
      <w:r w:rsidRPr="001B2E49">
        <w:rPr>
          <w:rFonts w:cs="Times New Roman"/>
        </w:rPr>
        <w:t>(Pappas et al., 2009)</w:t>
      </w:r>
      <w:r w:rsidRPr="00990708">
        <w:rPr>
          <w:szCs w:val="24"/>
        </w:rPr>
        <w:fldChar w:fldCharType="end"/>
      </w:r>
      <w:r w:rsidRPr="00990708">
        <w:rPr>
          <w:szCs w:val="24"/>
        </w:rPr>
        <w:t xml:space="preserve">, that is, it’s here, you can’t see it, and it’s </w:t>
      </w:r>
      <w:r w:rsidR="00583E06">
        <w:rPr>
          <w:szCs w:val="24"/>
        </w:rPr>
        <w:t>on the move</w:t>
      </w:r>
      <w:r w:rsidRPr="00990708">
        <w:rPr>
          <w:szCs w:val="24"/>
        </w:rPr>
        <w:t xml:space="preserve">. This contagion-related fear is heightened by perceptions of the speed of transmission and exposure to contagion-related misinformation </w:t>
      </w:r>
      <w:r w:rsidRPr="00990708">
        <w:rPr>
          <w:szCs w:val="24"/>
        </w:rPr>
        <w:fldChar w:fldCharType="begin"/>
      </w:r>
      <w:r w:rsidRPr="00990708">
        <w:rPr>
          <w:szCs w:val="24"/>
        </w:rPr>
        <w:instrText xml:space="preserve"> ADDIN ZOTERO_ITEM CSL_CITATION {"citationID":"VdOVST1N","properties":{"formattedCitation":"(Amin, 2020)","plainCitation":"(Amin, 2020)","noteIndex":0},"citationItems":[{"id":485,"uris":["http://zotero.org/users/6223488/items/N5V4VK4Q"],"uri":["http://zotero.org/users/6223488/items/N5V4VK4Q"],"itemData":{"id":485,"type":"article-journal","abstract":"Background: Coronaviruses are a category of associated viruses that trigger diseases, including severe acute respiratory syndrome-related coronavirus (SARS-CoV) in 2003, human coronavirus NL63 (HCoV NL63) in 2004, human coronavirus HKU1 (HKU1) in 2005, Middle East respiratory syndrome-related coronavirus (MERS-CoV) in 2012, and severe acute respiratory syndromerelated coronavirus-2 (SARS-CoV-2) in December 2019.\nObjective: This study used a qualitative and quantitative approach to measure Covid-19 pandamic’s impact on psychological well-being. At the moment, the world is fearing from this widespread pandemic, its outbreak and has no idea how it is leaving psychological eﬀects on human well-being.\nMethod: This study designed questionnaires to judge the psychological health of healthcare professionals those are directly treating quarantined patients within the hospital. We asked questions from 250-healthcare professionals (including doctors, nurses, and paramedical staﬀ) who are treating quarantined patients at diﬀerent hospitals of Lahore, Pakistan.\nResults: This study concludes that corona-phobia persist in healthcare professionals and cause various psychological symptoms on their mental health.\nConclusion &amp; Policy Implication: This study suggests the government need to provide medical facilities/equipment with those healthcare professionals who are frontline soldiers in treating quarantine patients.","container-title":"International Journal of Healthcare Management","DOI":"10.1080/20479700.2020.1765119","ISSN":"2047-9700, 2047-9719","journalAbbreviation":"International Journal of Healthcare Management","language":"en","page":"1-8","source":"DOI.org (Crossref)","title":"The psychology of coronavirus fear: Are healthcare professionals suffering from corona-phobia?","title-short":"The psychology of coronavirus fear","URL":"https://www.tandfonline.com/doi/full/10.1080/20479700.2020.1765119","author":[{"family":"Amin","given":"Saqib"}],"accessed":{"date-parts":[["2020",6,17]]},"issued":{"date-parts":[["2020",5,18]]}}}],"schema":"https://github.com/citation-style-language/schema/raw/master/csl-citation.json"} </w:instrText>
      </w:r>
      <w:r w:rsidRPr="00990708">
        <w:rPr>
          <w:szCs w:val="24"/>
        </w:rPr>
        <w:fldChar w:fldCharType="separate"/>
      </w:r>
      <w:r w:rsidR="0026232F" w:rsidRPr="0026232F">
        <w:rPr>
          <w:rFonts w:cs="Times New Roman"/>
        </w:rPr>
        <w:t>(Amin, 2020)</w:t>
      </w:r>
      <w:r w:rsidRPr="00990708">
        <w:rPr>
          <w:szCs w:val="24"/>
        </w:rPr>
        <w:fldChar w:fldCharType="end"/>
      </w:r>
      <w:r w:rsidRPr="00990708">
        <w:rPr>
          <w:szCs w:val="24"/>
        </w:rPr>
        <w:t xml:space="preserve">; </w:t>
      </w:r>
      <w:r w:rsidRPr="00990708">
        <w:rPr>
          <w:szCs w:val="24"/>
        </w:rPr>
        <w:fldChar w:fldCharType="begin"/>
      </w:r>
      <w:r w:rsidRPr="00990708">
        <w:rPr>
          <w:szCs w:val="24"/>
        </w:rPr>
        <w:instrText xml:space="preserve"> ADDIN ZOTERO_ITEM CSL_CITATION {"citationID":"vFgdYlB2","properties":{"formattedCitation":"(Pappas et al., 2009)","plainCitation":"(Pappas et al., 2009)","noteIndex":0},"citationItems":[{"id":480,"uris":["http://zotero.org/users/6223488/items/M98ULLWJ"],"uri":["http://zotero.org/users/6223488/items/M98ULLWJ"],"itemData":{"id":480,"type":"article-journal","abstract":"Historically, there has been an exaggerated fear related to infection compared to other conditions. Infection possesses unique characteristics that account for this disproportionate degree of fear: it is transmitted rapidly and invisibly; historically, it has accounted for major morbidity and mortality; old forms re-emerge and new forms emerge; and both the media and society are often in awe. Because, in an outbreak, the patient is both a victim and a vector, and because there exists the potential for infringement of personal rights in order to control an outbreak, infection may be viewed (and has been depicted in popular culture) as a foreign invasion. During recent outbreaks, fear, denial, stigmatization and loss have been recorded in the implicated individuals. Stigmatization and discrimination may further involve ethical correlations, and attempts to adress these issues through activism may also have unwarranted effects. Public health initiatives can address the public’s fears by increasing health literacy, which can contribute to reducing stigmatization.","container-title":"Clinical Microbiology and Infection","DOI":"10.1111/j.1469-0691.2009.02947.x","ISSN":"1198743X","issue":"8","journalAbbreviation":"Clinical Microbiology and Infection","language":"en","page":"743-747","source":"DOI.org (Crossref)","title":"Psychosocial consequences of infectious diseases","URL":"https://linkinghub.elsevier.com/retrieve/pii/S1198743X14604614","volume":"15","author":[{"family":"Pappas","given":"G."},{"family":"Kiriaze","given":"I.J."},{"family":"Giannakis","given":"P."},{"family":"Falagas","given":"M.E."}],"accessed":{"date-parts":[["2020",6,17]]},"issued":{"date-parts":[["2009",8]]}}}],"schema":"https://github.com/citation-style-language/schema/raw/master/csl-citation.json"} </w:instrText>
      </w:r>
      <w:r w:rsidRPr="00990708">
        <w:rPr>
          <w:szCs w:val="24"/>
        </w:rPr>
        <w:fldChar w:fldCharType="separate"/>
      </w:r>
      <w:r w:rsidR="0026232F" w:rsidRPr="0026232F">
        <w:rPr>
          <w:rFonts w:cs="Times New Roman"/>
        </w:rPr>
        <w:t>(Pappas et al., 2009)</w:t>
      </w:r>
      <w:r w:rsidRPr="00990708">
        <w:rPr>
          <w:szCs w:val="24"/>
        </w:rPr>
        <w:fldChar w:fldCharType="end"/>
      </w:r>
      <w:r w:rsidRPr="00990708">
        <w:rPr>
          <w:szCs w:val="24"/>
        </w:rPr>
        <w:t>.</w:t>
      </w:r>
      <w:r w:rsidRPr="0051406C">
        <w:rPr>
          <w:szCs w:val="24"/>
        </w:rPr>
        <w:t xml:space="preserve"> </w:t>
      </w:r>
    </w:p>
    <w:p w14:paraId="6E0EC6D3" w14:textId="382BD7E9" w:rsidR="0051406C" w:rsidRPr="0051406C" w:rsidRDefault="0051406C" w:rsidP="0051406C">
      <w:pPr>
        <w:rPr>
          <w:szCs w:val="24"/>
        </w:rPr>
      </w:pPr>
      <w:r w:rsidRPr="0051406C">
        <w:rPr>
          <w:szCs w:val="24"/>
        </w:rPr>
        <w:t>A search of the pre-2020 literature revealed a dearth of quantitative measures of contagion-related fear. Research emerging from the most recent comparable epidemic, the SARS epidemic of 2002-2004, mainly use</w:t>
      </w:r>
      <w:r w:rsidR="00762BE9">
        <w:rPr>
          <w:szCs w:val="24"/>
        </w:rPr>
        <w:t>d</w:t>
      </w:r>
      <w:r w:rsidRPr="0051406C">
        <w:rPr>
          <w:szCs w:val="24"/>
        </w:rPr>
        <w:t xml:space="preserve"> semi-</w:t>
      </w:r>
      <w:r w:rsidRPr="00BB09C5">
        <w:rPr>
          <w:szCs w:val="24"/>
        </w:rPr>
        <w:t xml:space="preserve">structured interviews and general measures of fear, trauma, and psychological wellbeing </w:t>
      </w:r>
      <w:r w:rsidR="00CE144C" w:rsidRPr="00BB09C5">
        <w:rPr>
          <w:szCs w:val="24"/>
        </w:rPr>
        <w:fldChar w:fldCharType="begin"/>
      </w:r>
      <w:r w:rsidR="006213C4">
        <w:rPr>
          <w:szCs w:val="24"/>
        </w:rPr>
        <w:instrText xml:space="preserve"> ADDIN ZOTERO_ITEM CSL_CITATION {"citationID":"iSilf171","properties":{"formattedCitation":"(Ho et al., 2005)","plainCitation":"(Ho et al., 2005)","dontUpdate":true,"noteIndex":0},"citationItems":[{"id":361,"uris":["http://zotero.org/users/6223488/items/KIIKNZC7"],"uri":["http://zotero.org/users/6223488/items/KIIKNZC7"],"itemData":{"id":361,"type":"article-journal","container-title":"Journal of Consulting and Clinical Psychology","DOI":"10.1037/0022-006X.73.2.344","ISSN":"1939-2117, 0022-006X","issue":"2","journalAbbreviation":"Journal of Consulting and Clinical Psychology","language":"en","page":"344-349","source":"DOI.org (Crossref)","title":"Fear of Severe Acute Respiratory Syndrome (SARS) Among Health Care Workers.","URL":"http://doi.apa.org/getdoi.cfm?doi=10.1037/0022-006X.73.2.344","volume":"73","author":[{"family":"Ho","given":"Samuel M. Y."},{"family":"Kwong-Lo","given":"Rosalie S. Y."},{"family":"Mak","given":"Christine W. Y."},{"family":"Wong","given":"Joe S."}],"accessed":{"date-parts":[["2020",5,5]]},"issued":{"date-parts":[["2005",4]]}}}],"schema":"https://github.com/citation-style-language/schema/raw/master/csl-citation.json"} </w:instrText>
      </w:r>
      <w:r w:rsidR="00CE144C" w:rsidRPr="00BB09C5">
        <w:rPr>
          <w:szCs w:val="24"/>
        </w:rPr>
        <w:fldChar w:fldCharType="separate"/>
      </w:r>
      <w:r w:rsidR="001B2E49" w:rsidRPr="00BB09C5">
        <w:rPr>
          <w:rFonts w:cs="Times New Roman"/>
        </w:rPr>
        <w:t>(Ho et al., 2005</w:t>
      </w:r>
      <w:r w:rsidR="00CE144C" w:rsidRPr="00BB09C5">
        <w:rPr>
          <w:szCs w:val="24"/>
        </w:rPr>
        <w:fldChar w:fldCharType="end"/>
      </w:r>
      <w:r w:rsidRPr="00BB09C5">
        <w:rPr>
          <w:szCs w:val="24"/>
        </w:rPr>
        <w:t>;</w:t>
      </w:r>
      <w:r w:rsidR="00835CDF" w:rsidRPr="00BB09C5">
        <w:rPr>
          <w:szCs w:val="24"/>
        </w:rPr>
        <w:t xml:space="preserve"> </w:t>
      </w:r>
      <w:r w:rsidR="00835CDF" w:rsidRPr="00BB09C5">
        <w:rPr>
          <w:szCs w:val="24"/>
        </w:rPr>
        <w:fldChar w:fldCharType="begin"/>
      </w:r>
      <w:r w:rsidR="006213C4">
        <w:rPr>
          <w:szCs w:val="24"/>
        </w:rPr>
        <w:instrText xml:space="preserve"> ADDIN ZOTERO_ITEM CSL_CITATION {"citationID":"W4HFzpsT","properties":{"formattedCitation":"(Stuijfzand et al., 2020)","plainCitation":"(Stuijfzand et al., 2020)","dontUpdate":true,"noteIndex":0},"citationItems":[{"id":573,"uris":["http://zotero.org/users/6223488/items/9N8T8MFG"],"uri":["http://zotero.org/users/6223488/items/9N8T8MFG"],"itemData":{"id":573,"type":"report","abstract":"Abstract\n          \n            Background: Epidemics or pandemics, such as the current Coronavirus Disease 2019 (COVID-19) crisis, pose unique challenges to healthcare professionals (HCPs). Caring for patients during an epidemic/pandemic may impact negatively on the mental health of HCPs. There is a lack of evidence-based advice on what would be effective in mitigating this impact. Objectives: This rapid review synthesizes the evidence on the psychological impact of pandemics/epidemics on the mental health of HCPs, what factors predict this impact, and the evidence of prevention/intervention strategies to reduce this impact. Method: According to rapid review guidelines, systematic searches were carried out in Embase.com, PubMed, APA PsycINFO-Ovid SP, and Web of Science (core collection). Searches were restricted to the years 2003 or later to ensure inclusion of the most recent epidemic/pandemics, such as Severe Acute Respiratory Syndrome (SARS). Papers written in French or English, published in peer-reviewed journals, and of quantitative design using validated measures of mental health outcomes were included. Of 1308 papers found, 48 were included. The full protocol for this rapid review was registered with Prospero (\n            reg.no.\n            CRD42020175985). Results: Results show that exposed HCPs working with patients during an epidemic/pandemic are at heightened risk of mental health problems in the short and longer term, particularly: psychological distress, insomnia, alcohol/drug misuse, and symptoms of posttraumatic stress disorder (PTSD), depression, anxiety, burnout, anger, and higher perceived stress. These mental health problems are predicted by organizational, social, personal, and psychological factors and may interfere with the quality of patient care. Few evidence-based early interventions exist so far. Discussion: Several recommendations relevant during and after an epidemic/pandemic, such as COVID-19, and in preparation for a future outbreak, are proposed.","genre":"preprint","language":"en","note":"DOI: 10.21203/rs.3.rs-30156/v1","publisher":"In Review","source":"DOI.org (Crossref)","title":"Psychological Impact of an Epidemic/Pandemic on the Mental Health of Healthcare Professionals: A Rapid Review","title-short":"Psychological Impact of an Epidemic/Pandemic on the Mental Health of Healthcare Professionals","URL":"https://www.researchsquare.com/article/rs-30156/v1","author":[{"family":"Stuijfzand","given":"Suzannah"},{"family":"Deforges","given":"Camille"},{"family":"Sandoz","given":"Vania"},{"family":"Sajin","given":"Consuela-Thais Consuela-Thais"},{"family":"Jaques","given":"Cécile"},{"family":"Elmers","given":"Jolanda"},{"family":"Horsch","given":"Antje"}],"accessed":{"date-parts":[["2020",7,6]]},"issued":{"date-parts":[["2020",6,3]]}}}],"schema":"https://github.com/citation-style-language/schema/raw/master/csl-citation.json"} </w:instrText>
      </w:r>
      <w:r w:rsidR="00835CDF" w:rsidRPr="00BB09C5">
        <w:rPr>
          <w:szCs w:val="24"/>
        </w:rPr>
        <w:fldChar w:fldCharType="separate"/>
      </w:r>
      <w:r w:rsidR="00835CDF" w:rsidRPr="00BB09C5">
        <w:rPr>
          <w:rFonts w:cs="Times New Roman"/>
        </w:rPr>
        <w:t>Stuijfzand et al., 2020)</w:t>
      </w:r>
      <w:r w:rsidR="00835CDF" w:rsidRPr="00BB09C5">
        <w:rPr>
          <w:szCs w:val="24"/>
        </w:rPr>
        <w:fldChar w:fldCharType="end"/>
      </w:r>
      <w:r w:rsidRPr="00BB09C5">
        <w:rPr>
          <w:szCs w:val="24"/>
        </w:rPr>
        <w:t>.</w:t>
      </w:r>
      <w:r w:rsidRPr="0051406C">
        <w:rPr>
          <w:szCs w:val="24"/>
        </w:rPr>
        <w:t xml:space="preserve"> SARS research also tended to focus on the experiences of healthcare professionals </w:t>
      </w:r>
      <w:r w:rsidR="001C2345" w:rsidRPr="005D0A7C">
        <w:rPr>
          <w:szCs w:val="24"/>
        </w:rPr>
        <w:fldChar w:fldCharType="begin"/>
      </w:r>
      <w:r w:rsidR="00765F71">
        <w:rPr>
          <w:szCs w:val="24"/>
        </w:rPr>
        <w:instrText xml:space="preserve"> ADDIN ZOTERO_ITEM CSL_CITATION {"citationID":"UjJQFuFk","properties":{"formattedCitation":"(Ho et al., 2005)","plainCitation":"(Ho et al., 2005)","dontUpdate":true,"noteIndex":0},"citationItems":[{"id":361,"uris":["http://zotero.org/users/6223488/items/KIIKNZC7"],"uri":["http://zotero.org/users/6223488/items/KIIKNZC7"],"itemData":{"id":361,"type":"article-journal","container-title":"Journal of Consulting and Clinical Psychology","DOI":"10.1037/0022-006X.73.2.344","ISSN":"1939-2117, 0022-006X","issue":"2","journalAbbreviation":"Journal of Consulting and Clinical Psychology","language":"en","page":"344-349","source":"DOI.org (Crossref)","title":"Fear of Severe Acute Respiratory Syndrome (SARS) Among Health Care Workers.","URL":"http://doi.apa.org/getdoi.cfm?doi=10.1037/0022-006X.73.2.344","volume":"73","author":[{"family":"Ho","given":"Samuel M. Y."},{"family":"Kwong-Lo","given":"Rosalie S. Y."},{"family":"Mak","given":"Christine W. Y."},{"family":"Wong","given":"Joe S."}],"accessed":{"date-parts":[["2020",5,5]]},"issued":{"date-parts":[["2005",4]]}}}],"schema":"https://github.com/citation-style-language/schema/raw/master/csl-citation.json"} </w:instrText>
      </w:r>
      <w:r w:rsidR="001C2345" w:rsidRPr="005D0A7C">
        <w:rPr>
          <w:szCs w:val="24"/>
        </w:rPr>
        <w:fldChar w:fldCharType="separate"/>
      </w:r>
      <w:r w:rsidR="001C2345" w:rsidRPr="005D0A7C">
        <w:rPr>
          <w:rFonts w:cs="Times New Roman"/>
        </w:rPr>
        <w:t>(Ho et al., 2005</w:t>
      </w:r>
      <w:r w:rsidR="001C2345" w:rsidRPr="005D0A7C">
        <w:rPr>
          <w:szCs w:val="24"/>
        </w:rPr>
        <w:fldChar w:fldCharType="end"/>
      </w:r>
      <w:r w:rsidRPr="005D0A7C">
        <w:rPr>
          <w:szCs w:val="24"/>
        </w:rPr>
        <w:t>;</w:t>
      </w:r>
      <w:r w:rsidR="00653F3D">
        <w:rPr>
          <w:rFonts w:cs="Times New Roman"/>
          <w:szCs w:val="24"/>
        </w:rPr>
        <w:t xml:space="preserve"> </w:t>
      </w:r>
      <w:r w:rsidR="00BD4E03" w:rsidRPr="00BD4E03">
        <w:rPr>
          <w:rFonts w:cs="Times New Roman"/>
          <w:szCs w:val="24"/>
        </w:rPr>
        <w:t>Stuijfzand et al., 2020)</w:t>
      </w:r>
      <w:r w:rsidRPr="0051406C">
        <w:rPr>
          <w:szCs w:val="24"/>
        </w:rPr>
        <w:t xml:space="preserve"> rather than the general population. </w:t>
      </w:r>
    </w:p>
    <w:p w14:paraId="47EE7C12" w14:textId="3E457B5F" w:rsidR="0051406C" w:rsidRPr="0051406C" w:rsidRDefault="0051406C" w:rsidP="0051406C">
      <w:pPr>
        <w:rPr>
          <w:szCs w:val="24"/>
        </w:rPr>
      </w:pPr>
      <w:r w:rsidRPr="0051406C">
        <w:rPr>
          <w:szCs w:val="24"/>
        </w:rPr>
        <w:t xml:space="preserve">With the rapid global spread of COVID-19, the first half of 2020 has seen a flurry of COVID-19-related psychological </w:t>
      </w:r>
      <w:r w:rsidR="00300F23">
        <w:rPr>
          <w:szCs w:val="24"/>
        </w:rPr>
        <w:t xml:space="preserve">response </w:t>
      </w:r>
      <w:r w:rsidRPr="0051406C">
        <w:rPr>
          <w:szCs w:val="24"/>
        </w:rPr>
        <w:t xml:space="preserve">scale development. Lee’s </w:t>
      </w:r>
      <w:r w:rsidR="001F2449" w:rsidRPr="005D0A7C">
        <w:rPr>
          <w:rFonts w:cs="Times New Roman"/>
          <w:szCs w:val="24"/>
        </w:rPr>
        <w:t>(2020)</w:t>
      </w:r>
      <w:r w:rsidR="005D0A7C">
        <w:rPr>
          <w:szCs w:val="24"/>
        </w:rPr>
        <w:t xml:space="preserve"> </w:t>
      </w:r>
      <w:r w:rsidRPr="0051406C">
        <w:rPr>
          <w:szCs w:val="24"/>
        </w:rPr>
        <w:t xml:space="preserve">Coronavirus Anxiety Scale, is a brief, 5-item screener for clinical </w:t>
      </w:r>
      <w:r w:rsidR="004C3C8C">
        <w:rPr>
          <w:szCs w:val="24"/>
        </w:rPr>
        <w:t xml:space="preserve">levels of </w:t>
      </w:r>
      <w:r w:rsidRPr="0051406C">
        <w:rPr>
          <w:szCs w:val="24"/>
        </w:rPr>
        <w:t xml:space="preserve">anxiety related to COVID-19. Kachanoff et al. </w:t>
      </w:r>
      <w:r w:rsidR="002E7D9F" w:rsidRPr="005D0A7C">
        <w:rPr>
          <w:rFonts w:cs="Times New Roman"/>
          <w:szCs w:val="24"/>
        </w:rPr>
        <w:t>(2020)</w:t>
      </w:r>
      <w:r w:rsidRPr="0051406C">
        <w:rPr>
          <w:szCs w:val="24"/>
        </w:rPr>
        <w:t xml:space="preserve"> developed the COVID-19 Threat Scale, a 10-item measure of </w:t>
      </w:r>
      <w:r w:rsidR="004C3C8C">
        <w:rPr>
          <w:szCs w:val="24"/>
        </w:rPr>
        <w:t xml:space="preserve">perceptions of </w:t>
      </w:r>
      <w:r w:rsidRPr="0051406C">
        <w:rPr>
          <w:szCs w:val="24"/>
        </w:rPr>
        <w:t>realistic threat to financial and physical safety and symbolic threat to sociocultural identity. Ahorsu et al</w:t>
      </w:r>
      <w:r w:rsidRPr="005D0A7C">
        <w:rPr>
          <w:szCs w:val="24"/>
        </w:rPr>
        <w:t xml:space="preserve">. </w:t>
      </w:r>
      <w:r w:rsidR="002E7D9F" w:rsidRPr="005D0A7C">
        <w:rPr>
          <w:szCs w:val="24"/>
        </w:rPr>
        <w:fldChar w:fldCharType="begin"/>
      </w:r>
      <w:r w:rsidR="003F2FC6">
        <w:rPr>
          <w:szCs w:val="24"/>
        </w:rPr>
        <w:instrText xml:space="preserve"> ADDIN ZOTERO_ITEM CSL_CITATION {"citationID":"cOzVjYJm","properties":{"formattedCitation":"(Ahorsu et al., 2020)","plainCitation":"(Ahorsu et al., 2020)","noteIndex":0},"citationItems":[{"id":545,"uris":["http://zotero.org/users/6223488/items/U5UZR4I9"],"uri":["http://zotero.org/users/6223488/items/U5UZR4I9"],"itemData":{"id":545,"type":"article-journal","abstract":"Background The emergence of the COVID-19 and its consequences has led to fears, worries, and anxiety among individuals worldwide. The present study developed the Fear of COVID-19 Scale (FCV-19S) to complement the clinical efforts in preventing the spread and treating of COVID-19 cases.","container-title":"International Journal of Mental Health and Addiction","DOI":"10.1007/s11469-020-00270-8","ISSN":"1557-1874, 1557-1882","journalAbbreviation":"Int J Ment Health Addiction","language":"en","source":"DOI.org (Crossref)","title":"The Fear of COVID-19 Scale: Development and initial validation","title-short":"The Fear of COVID-19 Scale","URL":"http://link.springer.com/10.1007/s11469-020-00270-8","author":[{"family":"Ahorsu","given":"Daniel Kwasi"},{"family":"Lin","given":"Chung-Ying"},{"family":"Imani","given":"Vida"},{"family":"Saffari","given":"Mohsen"},{"family":"Griffiths","given":"Mark D."},{"family":"Pakpour","given":"Amir H."}],"accessed":{"date-parts":[["2020",6,29]]},"issued":{"date-parts":[["2020"]]}}}],"schema":"https://github.com/citation-style-language/schema/raw/master/csl-citation.json"} </w:instrText>
      </w:r>
      <w:r w:rsidR="002E7D9F" w:rsidRPr="005D0A7C">
        <w:rPr>
          <w:szCs w:val="24"/>
        </w:rPr>
        <w:fldChar w:fldCharType="separate"/>
      </w:r>
      <w:r w:rsidR="003F2FC6" w:rsidRPr="003F2FC6">
        <w:rPr>
          <w:rFonts w:cs="Times New Roman"/>
        </w:rPr>
        <w:t>(Ahorsu et al., 2020)</w:t>
      </w:r>
      <w:r w:rsidR="002E7D9F" w:rsidRPr="005D0A7C">
        <w:rPr>
          <w:szCs w:val="24"/>
        </w:rPr>
        <w:fldChar w:fldCharType="end"/>
      </w:r>
      <w:r w:rsidRPr="0051406C">
        <w:rPr>
          <w:szCs w:val="24"/>
        </w:rPr>
        <w:t xml:space="preserve"> developed the Persian language</w:t>
      </w:r>
      <w:r w:rsidR="0058620A">
        <w:rPr>
          <w:szCs w:val="24"/>
        </w:rPr>
        <w:t>,</w:t>
      </w:r>
      <w:r w:rsidRPr="0051406C">
        <w:rPr>
          <w:szCs w:val="24"/>
        </w:rPr>
        <w:t xml:space="preserve"> 7-item Fear of COVID-19 scale measuring fear and anxiety </w:t>
      </w:r>
      <w:r w:rsidR="0058620A">
        <w:rPr>
          <w:szCs w:val="24"/>
        </w:rPr>
        <w:t xml:space="preserve">clinical </w:t>
      </w:r>
      <w:r w:rsidRPr="0051406C">
        <w:rPr>
          <w:szCs w:val="24"/>
        </w:rPr>
        <w:t>symptoms</w:t>
      </w:r>
      <w:r w:rsidR="00CC3091">
        <w:rPr>
          <w:szCs w:val="24"/>
        </w:rPr>
        <w:t xml:space="preserve"> associated with COVID-19</w:t>
      </w:r>
      <w:r w:rsidRPr="0051406C">
        <w:rPr>
          <w:szCs w:val="24"/>
        </w:rPr>
        <w:t xml:space="preserve">. Finally, Taylor et al </w:t>
      </w:r>
      <w:r w:rsidR="002E7D9F" w:rsidRPr="005D0A7C">
        <w:rPr>
          <w:szCs w:val="24"/>
        </w:rPr>
        <w:fldChar w:fldCharType="begin"/>
      </w:r>
      <w:r w:rsidR="002E7D9F" w:rsidRPr="005D0A7C">
        <w:rPr>
          <w:szCs w:val="24"/>
        </w:rPr>
        <w:instrText xml:space="preserve"> ADDIN ZOTERO_ITEM CSL_CITATION {"citationID":"mFbWgsWJ","properties":{"formattedCitation":"(Taylor et al., 2020)","plainCitation":"(Taylor et al., 2020)","noteIndex":0},"citationItems":[{"id":547,"uris":["http://zotero.org/users/6223488/items/4XBTVZKF"],"uri":["http://zotero.org/users/6223488/items/4XBTVZKF"],"itemData":{"id":547,"type":"article-journal","abstract":"Research and clinical observations suggest that during times of pandemic many people exhibit stress- or anxietyrelated responses that include fear of becoming infected, fear of coming into contact with possibly contaminated objects or surfaces, fear of foreigners who might be carrying infection (i.e., disease-related xenophobia), fear of the socio-economic consequences of the pandemic, compulsive checking and reassurance-seeking regarding possible pandemic-related threats, and traumatic stress symptoms about the pandemic (e.g., nightmares, intrusive thoughts). We developed the 36-item COVID Stress Scales (CSS) to measure these features, as they pertain to COVID-19. The CSS were developed to better understand and assess COVID-19-related distress. The scales were intentionally designed so they could be readily adapted for future pandemics. The CSS were developed and initially validated in population-representative samples from Canada (N = 3479) and the United States (N = 3375). A stable 5-factor solution was identified, corresponding to scales assessing COVID-related stress and anxiety symptoms: (1) Danger and contamination fears, (2) fears about economic consequences, (3) xenophobia, (4) compulsive checking and reassurance seeking, and (5) traumatic stress symptoms about COVID-19. The scales performed well on various indices of reliability and validity. The scales were intercorrelated, providing evidence of a COVID Stress Syndrome. The scales offer promise as tools for better understanding the distress associated with COVID-19 and for identifying people in need of mental health services.","container-title":"Journal of Anxiety Disorders","DOI":"10.1016/j.janxdis.2020.102232","ISSN":"08876185","journalAbbreviation":"Journal of Anxiety Disorders","language":"en","page":"102232","source":"DOI.org (Crossref)","title":"Development and initial validation of the COVID Stress Scales","URL":"https://linkinghub.elsevier.com/retrieve/pii/S0887618520300463","volume":"72","author":[{"family":"Taylor","given":"Steven"},{"family":"Landry","given":"Caeleigh A."},{"family":"Paluszek","given":"Michelle M."},{"family":"Fergus","given":"Thomas A."},{"family":"McKay","given":"Dean"},{"family":"Asmundson","given":"Gordon J.G."}],"accessed":{"date-parts":[["2020",6,29]]},"issued":{"date-parts":[["2020",5]]}}}],"schema":"https://github.com/citation-style-language/schema/raw/master/csl-citation.json"} </w:instrText>
      </w:r>
      <w:r w:rsidR="002E7D9F" w:rsidRPr="005D0A7C">
        <w:rPr>
          <w:szCs w:val="24"/>
        </w:rPr>
        <w:fldChar w:fldCharType="separate"/>
      </w:r>
      <w:r w:rsidR="001B2E49" w:rsidRPr="001B2E49">
        <w:rPr>
          <w:rFonts w:cs="Times New Roman"/>
        </w:rPr>
        <w:t>(Taylor et al., 2020)</w:t>
      </w:r>
      <w:r w:rsidR="002E7D9F" w:rsidRPr="005D0A7C">
        <w:rPr>
          <w:szCs w:val="24"/>
        </w:rPr>
        <w:fldChar w:fldCharType="end"/>
      </w:r>
      <w:r w:rsidRPr="0051406C">
        <w:rPr>
          <w:szCs w:val="24"/>
        </w:rPr>
        <w:t xml:space="preserve"> developed the 36-item COVID Stress Scales, a comprehensive measure of </w:t>
      </w:r>
      <w:r w:rsidR="00EC2BF1">
        <w:rPr>
          <w:szCs w:val="24"/>
        </w:rPr>
        <w:t xml:space="preserve">psychological reactions to </w:t>
      </w:r>
      <w:r w:rsidRPr="0051406C">
        <w:rPr>
          <w:szCs w:val="24"/>
        </w:rPr>
        <w:t xml:space="preserve">COVID-19: contamination fears, economic fears, xenophobia, compulsive </w:t>
      </w:r>
      <w:r w:rsidR="00D630C6" w:rsidRPr="0051406C">
        <w:rPr>
          <w:szCs w:val="24"/>
        </w:rPr>
        <w:t>behavior</w:t>
      </w:r>
      <w:r w:rsidRPr="0051406C">
        <w:rPr>
          <w:szCs w:val="24"/>
        </w:rPr>
        <w:t>, and traumatic stress symptoms.</w:t>
      </w:r>
    </w:p>
    <w:p w14:paraId="2BD6C1C0" w14:textId="06500953" w:rsidR="0051406C" w:rsidRPr="0051406C" w:rsidRDefault="0051406C" w:rsidP="0051406C">
      <w:pPr>
        <w:rPr>
          <w:szCs w:val="24"/>
        </w:rPr>
      </w:pPr>
      <w:r w:rsidRPr="0051406C">
        <w:rPr>
          <w:szCs w:val="24"/>
        </w:rPr>
        <w:t>Missing from the research literature was a brief</w:t>
      </w:r>
      <w:r w:rsidR="00F11FED">
        <w:rPr>
          <w:szCs w:val="24"/>
        </w:rPr>
        <w:t>, non-diagnostic</w:t>
      </w:r>
      <w:r w:rsidRPr="0051406C">
        <w:rPr>
          <w:szCs w:val="24"/>
        </w:rPr>
        <w:t xml:space="preserve"> measure of contagion-related fear that could be applied to </w:t>
      </w:r>
      <w:r w:rsidR="00314369">
        <w:rPr>
          <w:szCs w:val="24"/>
        </w:rPr>
        <w:t xml:space="preserve">any </w:t>
      </w:r>
      <w:r w:rsidRPr="0051406C">
        <w:rPr>
          <w:szCs w:val="24"/>
        </w:rPr>
        <w:t xml:space="preserve">contagious disease and across a wide range of </w:t>
      </w:r>
      <w:r w:rsidR="006D6D45">
        <w:rPr>
          <w:szCs w:val="24"/>
        </w:rPr>
        <w:t xml:space="preserve">adult </w:t>
      </w:r>
      <w:r w:rsidRPr="0051406C">
        <w:rPr>
          <w:szCs w:val="24"/>
        </w:rPr>
        <w:t xml:space="preserve">populations. A potential basis for such a scale was Ho et </w:t>
      </w:r>
      <w:r w:rsidRPr="00AB45E0">
        <w:rPr>
          <w:szCs w:val="24"/>
        </w:rPr>
        <w:t xml:space="preserve">al’s </w:t>
      </w:r>
      <w:r w:rsidR="00C41476" w:rsidRPr="00AB45E0">
        <w:rPr>
          <w:szCs w:val="24"/>
        </w:rPr>
        <w:fldChar w:fldCharType="begin"/>
      </w:r>
      <w:r w:rsidR="003F2FC6">
        <w:rPr>
          <w:szCs w:val="24"/>
        </w:rPr>
        <w:instrText xml:space="preserve"> ADDIN ZOTERO_ITEM CSL_CITATION {"citationID":"ZOKIvVjR","properties":{"formattedCitation":"(Ho et al., 2005)","plainCitation":"(Ho et al., 2005)","dontUpdate":true,"noteIndex":0},"citationItems":[{"id":361,"uris":["http://zotero.org/users/6223488/items/KIIKNZC7"],"uri":["http://zotero.org/users/6223488/items/KIIKNZC7"],"itemData":{"id":361,"type":"article-journal","container-title":"Journal of Consulting and Clinical Psychology","DOI":"10.1037/0022-006X.73.2.344","ISSN":"1939-2117, 0022-006X","issue":"2","journalAbbreviation":"Journal of Consulting and Clinical Psychology","language":"en","page":"344-349","source":"DOI.org (Crossref)","title":"Fear of Severe Acute Respiratory Syndrome (SARS) Among Health Care Workers.","URL":"http://doi.apa.org/getdoi.cfm?doi=10.1037/0022-006X.73.2.344","volume":"73","author":[{"family":"Ho","given":"Samuel M. Y."},{"family":"Kwong-Lo","given":"Rosalie S. Y."},{"family":"Mak","given":"Christine W. Y."},{"family":"Wong","given":"Joe S."}],"accessed":{"date-parts":[["2020",5,5]]},"issued":{"date-parts":[["2005",4]]}}}],"schema":"https://github.com/citation-style-language/schema/raw/master/csl-citation.json"} </w:instrText>
      </w:r>
      <w:r w:rsidR="00C41476" w:rsidRPr="00AB45E0">
        <w:rPr>
          <w:szCs w:val="24"/>
        </w:rPr>
        <w:fldChar w:fldCharType="separate"/>
      </w:r>
      <w:r w:rsidR="001B2E49" w:rsidRPr="001B2E49">
        <w:rPr>
          <w:rFonts w:cs="Times New Roman"/>
        </w:rPr>
        <w:t>(2005)</w:t>
      </w:r>
      <w:r w:rsidR="00C41476" w:rsidRPr="00AB45E0">
        <w:rPr>
          <w:szCs w:val="24"/>
        </w:rPr>
        <w:fldChar w:fldCharType="end"/>
      </w:r>
      <w:r w:rsidRPr="0051406C">
        <w:rPr>
          <w:szCs w:val="24"/>
        </w:rPr>
        <w:t xml:space="preserve"> SARS-related fear scale. </w:t>
      </w:r>
    </w:p>
    <w:p w14:paraId="4F30FD02" w14:textId="29F71754" w:rsidR="00135F23" w:rsidRDefault="0051406C" w:rsidP="0051406C">
      <w:pPr>
        <w:rPr>
          <w:szCs w:val="24"/>
        </w:rPr>
      </w:pPr>
      <w:r w:rsidRPr="0051406C">
        <w:rPr>
          <w:szCs w:val="24"/>
        </w:rPr>
        <w:t xml:space="preserve">The aim of this study was to adapt Ho et al’s </w:t>
      </w:r>
      <w:r w:rsidR="00027457" w:rsidRPr="00AB45E0">
        <w:rPr>
          <w:szCs w:val="24"/>
        </w:rPr>
        <w:fldChar w:fldCharType="begin"/>
      </w:r>
      <w:r w:rsidR="003F2FC6">
        <w:rPr>
          <w:szCs w:val="24"/>
        </w:rPr>
        <w:instrText xml:space="preserve"> ADDIN ZOTERO_ITEM CSL_CITATION {"citationID":"4waDzIqU","properties":{"formattedCitation":"(Ho et al., 2005)","plainCitation":"(Ho et al., 2005)","dontUpdate":true,"noteIndex":0},"citationItems":[{"id":361,"uris":["http://zotero.org/users/6223488/items/KIIKNZC7"],"uri":["http://zotero.org/users/6223488/items/KIIKNZC7"],"itemData":{"id":361,"type":"article-journal","container-title":"Journal of Consulting and Clinical Psychology","DOI":"10.1037/0022-006X.73.2.344","ISSN":"1939-2117, 0022-006X","issue":"2","journalAbbreviation":"Journal of Consulting and Clinical Psychology","language":"en","page":"344-349","source":"DOI.org (Crossref)","title":"Fear of Severe Acute Respiratory Syndrome (SARS) Among Health Care Workers.","URL":"http://doi.apa.org/getdoi.cfm?doi=10.1037/0022-006X.73.2.344","volume":"73","author":[{"family":"Ho","given":"Samuel M. Y."},{"family":"Kwong-Lo","given":"Rosalie S. Y."},{"family":"Mak","given":"Christine W. Y."},{"family":"Wong","given":"Joe S."}],"accessed":{"date-parts":[["2020",5,5]]},"issued":{"date-parts":[["2005",4]]}}}],"schema":"https://github.com/citation-style-language/schema/raw/master/csl-citation.json"} </w:instrText>
      </w:r>
      <w:r w:rsidR="00027457" w:rsidRPr="00AB45E0">
        <w:rPr>
          <w:szCs w:val="24"/>
        </w:rPr>
        <w:fldChar w:fldCharType="separate"/>
      </w:r>
      <w:r w:rsidR="001B2E49" w:rsidRPr="001B2E49">
        <w:rPr>
          <w:rFonts w:cs="Times New Roman"/>
        </w:rPr>
        <w:t>(2005)</w:t>
      </w:r>
      <w:r w:rsidR="00027457" w:rsidRPr="00AB45E0">
        <w:rPr>
          <w:szCs w:val="24"/>
        </w:rPr>
        <w:fldChar w:fldCharType="end"/>
      </w:r>
      <w:r w:rsidRPr="0051406C">
        <w:rPr>
          <w:szCs w:val="24"/>
        </w:rPr>
        <w:t xml:space="preserve"> SARS-related fear scale </w:t>
      </w:r>
      <w:r w:rsidR="006D6D45">
        <w:rPr>
          <w:szCs w:val="24"/>
        </w:rPr>
        <w:t xml:space="preserve">as </w:t>
      </w:r>
      <w:r w:rsidRPr="0051406C">
        <w:rPr>
          <w:szCs w:val="24"/>
        </w:rPr>
        <w:t xml:space="preserve">a </w:t>
      </w:r>
      <w:r w:rsidR="002962A3">
        <w:rPr>
          <w:szCs w:val="24"/>
        </w:rPr>
        <w:t xml:space="preserve">general </w:t>
      </w:r>
      <w:r w:rsidRPr="0051406C">
        <w:rPr>
          <w:szCs w:val="24"/>
        </w:rPr>
        <w:t xml:space="preserve">contagion-related fear scale, suitable for use across a range of diseases and populations. The </w:t>
      </w:r>
      <w:r w:rsidR="001745FE">
        <w:rPr>
          <w:szCs w:val="24"/>
        </w:rPr>
        <w:t xml:space="preserve">factor </w:t>
      </w:r>
      <w:r w:rsidRPr="0051406C">
        <w:rPr>
          <w:szCs w:val="24"/>
        </w:rPr>
        <w:t xml:space="preserve">structure, validity and reliability of the adapted scale was examined in samples of Australian, Indian, and Nepali university students studying in Australia at the height of </w:t>
      </w:r>
      <w:r w:rsidR="001745FE">
        <w:rPr>
          <w:szCs w:val="24"/>
        </w:rPr>
        <w:t xml:space="preserve">Australia’s first wave of </w:t>
      </w:r>
      <w:r w:rsidRPr="0051406C">
        <w:rPr>
          <w:szCs w:val="24"/>
        </w:rPr>
        <w:t>COVID-19.</w:t>
      </w:r>
    </w:p>
    <w:p w14:paraId="05172024" w14:textId="240AC7FF" w:rsidR="001934E3" w:rsidRPr="001934E3" w:rsidRDefault="006D403A" w:rsidP="001934E3">
      <w:pPr>
        <w:pStyle w:val="Heading1"/>
      </w:pPr>
      <w:r w:rsidRPr="001934E3">
        <w:t>Method</w:t>
      </w:r>
    </w:p>
    <w:p w14:paraId="6338B6AE" w14:textId="7D908860" w:rsidR="001934E3" w:rsidRPr="001934E3" w:rsidRDefault="006D403A" w:rsidP="006D403A">
      <w:pPr>
        <w:pStyle w:val="Heading2"/>
      </w:pPr>
      <w:r w:rsidRPr="001934E3">
        <w:lastRenderedPageBreak/>
        <w:t>Participants</w:t>
      </w:r>
    </w:p>
    <w:p w14:paraId="11C5147E" w14:textId="4668BAA5" w:rsidR="001934E3" w:rsidRPr="001934E3" w:rsidRDefault="001934E3" w:rsidP="001934E3">
      <w:pPr>
        <w:rPr>
          <w:szCs w:val="24"/>
        </w:rPr>
      </w:pPr>
      <w:r w:rsidRPr="001934E3">
        <w:rPr>
          <w:szCs w:val="24"/>
        </w:rPr>
        <w:t xml:space="preserve">Participants were domestic and international university students studying in Australia between 5 May 2020 and 7 June 2020, a period of </w:t>
      </w:r>
      <w:r w:rsidR="00AC6C37">
        <w:rPr>
          <w:szCs w:val="24"/>
        </w:rPr>
        <w:t xml:space="preserve">nation-wide </w:t>
      </w:r>
      <w:r w:rsidRPr="001934E3">
        <w:rPr>
          <w:szCs w:val="24"/>
        </w:rPr>
        <w:t xml:space="preserve">COVID-19-related social isolation and restriction in Australia. Data from three culturally distinct university student groups were </w:t>
      </w:r>
      <w:r w:rsidR="00D630C6" w:rsidRPr="001934E3">
        <w:rPr>
          <w:szCs w:val="24"/>
        </w:rPr>
        <w:t>analyzed</w:t>
      </w:r>
      <w:r w:rsidRPr="001934E3">
        <w:rPr>
          <w:szCs w:val="24"/>
        </w:rPr>
        <w:t>: Sample 1, Australian domestic students; Sample 2, Indian university students studying in Australia; and Sample 3, Nepali university students studying in Australia. All participants were aged 18 or over and were fluent in written and spoken English as required for admission to Australian universities.</w:t>
      </w:r>
    </w:p>
    <w:p w14:paraId="50AFF319" w14:textId="7B8D50D6" w:rsidR="001934E3" w:rsidRPr="001934E3" w:rsidRDefault="001934E3" w:rsidP="001934E3">
      <w:pPr>
        <w:rPr>
          <w:szCs w:val="24"/>
        </w:rPr>
      </w:pPr>
      <w:r w:rsidRPr="001934E3">
        <w:rPr>
          <w:szCs w:val="24"/>
        </w:rPr>
        <w:t xml:space="preserve">Sample 1 comprised </w:t>
      </w:r>
      <w:r w:rsidR="0090106E">
        <w:rPr>
          <w:szCs w:val="24"/>
        </w:rPr>
        <w:t>155</w:t>
      </w:r>
      <w:r w:rsidRPr="001934E3">
        <w:rPr>
          <w:szCs w:val="24"/>
        </w:rPr>
        <w:t xml:space="preserve"> Australian domestic (i.e., </w:t>
      </w:r>
      <w:r w:rsidR="00A74B82">
        <w:rPr>
          <w:szCs w:val="24"/>
        </w:rPr>
        <w:t xml:space="preserve">citizens and </w:t>
      </w:r>
      <w:r w:rsidR="00A32612">
        <w:rPr>
          <w:szCs w:val="24"/>
        </w:rPr>
        <w:t xml:space="preserve">permanent </w:t>
      </w:r>
      <w:r w:rsidRPr="001934E3">
        <w:rPr>
          <w:szCs w:val="24"/>
        </w:rPr>
        <w:t>residents of Australia) university students. They ranged in age from 18-60 years with a mean age of 25.</w:t>
      </w:r>
      <w:r w:rsidR="007807EE">
        <w:rPr>
          <w:szCs w:val="24"/>
        </w:rPr>
        <w:t>41</w:t>
      </w:r>
      <w:r w:rsidRPr="001934E3">
        <w:rPr>
          <w:szCs w:val="24"/>
        </w:rPr>
        <w:t xml:space="preserve"> years</w:t>
      </w:r>
      <w:r w:rsidR="00B25CF9">
        <w:rPr>
          <w:szCs w:val="24"/>
        </w:rPr>
        <w:t xml:space="preserve"> </w:t>
      </w:r>
      <w:r w:rsidRPr="001934E3">
        <w:rPr>
          <w:szCs w:val="24"/>
        </w:rPr>
        <w:t>(SD</w:t>
      </w:r>
      <w:r w:rsidR="00E57E9C">
        <w:rPr>
          <w:szCs w:val="24"/>
        </w:rPr>
        <w:t xml:space="preserve"> </w:t>
      </w:r>
      <w:r w:rsidRPr="001934E3">
        <w:rPr>
          <w:szCs w:val="24"/>
        </w:rPr>
        <w:t>=</w:t>
      </w:r>
      <w:r w:rsidR="00E57E9C">
        <w:rPr>
          <w:szCs w:val="24"/>
        </w:rPr>
        <w:t xml:space="preserve"> </w:t>
      </w:r>
      <w:r w:rsidR="008F49F9">
        <w:rPr>
          <w:szCs w:val="24"/>
        </w:rPr>
        <w:t>9.35</w:t>
      </w:r>
      <w:r w:rsidRPr="001934E3">
        <w:rPr>
          <w:szCs w:val="24"/>
        </w:rPr>
        <w:t>). Sample 1 included 1</w:t>
      </w:r>
      <w:r w:rsidR="0031637F">
        <w:rPr>
          <w:szCs w:val="24"/>
        </w:rPr>
        <w:t>0</w:t>
      </w:r>
      <w:r w:rsidRPr="001934E3">
        <w:rPr>
          <w:szCs w:val="24"/>
        </w:rPr>
        <w:t>0 women (6</w:t>
      </w:r>
      <w:r w:rsidR="00F5535D">
        <w:rPr>
          <w:szCs w:val="24"/>
        </w:rPr>
        <w:t>5</w:t>
      </w:r>
      <w:r w:rsidRPr="001934E3">
        <w:rPr>
          <w:szCs w:val="24"/>
        </w:rPr>
        <w:t>%), 5</w:t>
      </w:r>
      <w:r w:rsidR="0031637F">
        <w:rPr>
          <w:szCs w:val="24"/>
        </w:rPr>
        <w:t>2</w:t>
      </w:r>
      <w:r w:rsidRPr="001934E3">
        <w:rPr>
          <w:szCs w:val="24"/>
        </w:rPr>
        <w:t xml:space="preserve"> men (3</w:t>
      </w:r>
      <w:r w:rsidR="003F534D">
        <w:rPr>
          <w:szCs w:val="24"/>
        </w:rPr>
        <w:t>4</w:t>
      </w:r>
      <w:r w:rsidRPr="001934E3">
        <w:rPr>
          <w:szCs w:val="24"/>
        </w:rPr>
        <w:t>%), and 3 participants who identified as non-binary</w:t>
      </w:r>
      <w:r w:rsidR="00FD37A4">
        <w:rPr>
          <w:szCs w:val="24"/>
        </w:rPr>
        <w:t xml:space="preserve"> (1</w:t>
      </w:r>
      <w:r w:rsidR="004339B6">
        <w:rPr>
          <w:szCs w:val="24"/>
        </w:rPr>
        <w:t>%</w:t>
      </w:r>
      <w:r w:rsidR="00FD37A4">
        <w:rPr>
          <w:szCs w:val="24"/>
        </w:rPr>
        <w:t>)</w:t>
      </w:r>
      <w:r w:rsidRPr="001934E3">
        <w:rPr>
          <w:szCs w:val="24"/>
        </w:rPr>
        <w:t>.</w:t>
      </w:r>
    </w:p>
    <w:p w14:paraId="090DF14F" w14:textId="1EA5B8E9" w:rsidR="001934E3" w:rsidRPr="001934E3" w:rsidRDefault="001934E3" w:rsidP="001934E3">
      <w:pPr>
        <w:rPr>
          <w:szCs w:val="24"/>
        </w:rPr>
      </w:pPr>
      <w:r w:rsidRPr="001934E3">
        <w:rPr>
          <w:szCs w:val="24"/>
        </w:rPr>
        <w:t>Sample 2 comprised 111 Indian nationals studying at Australian universities. They ranged in age from 18-33 years with a mean age of 24.16 years</w:t>
      </w:r>
      <w:r w:rsidR="00B25CF9">
        <w:rPr>
          <w:szCs w:val="24"/>
        </w:rPr>
        <w:t xml:space="preserve"> </w:t>
      </w:r>
      <w:r w:rsidRPr="001934E3">
        <w:rPr>
          <w:szCs w:val="24"/>
        </w:rPr>
        <w:t>(SD</w:t>
      </w:r>
      <w:r w:rsidR="00E57E9C">
        <w:rPr>
          <w:szCs w:val="24"/>
        </w:rPr>
        <w:t xml:space="preserve"> </w:t>
      </w:r>
      <w:r w:rsidRPr="001934E3">
        <w:rPr>
          <w:szCs w:val="24"/>
        </w:rPr>
        <w:t>=</w:t>
      </w:r>
      <w:r w:rsidR="00E57E9C">
        <w:rPr>
          <w:szCs w:val="24"/>
        </w:rPr>
        <w:t xml:space="preserve"> </w:t>
      </w:r>
      <w:r w:rsidRPr="001934E3">
        <w:rPr>
          <w:szCs w:val="24"/>
        </w:rPr>
        <w:t>3.22). Sample 2 included 63 women (57%), 47 men (42%), and 1 participant who did not indicate their gender (1%).</w:t>
      </w:r>
    </w:p>
    <w:p w14:paraId="76EF1466" w14:textId="5C86E360" w:rsidR="001934E3" w:rsidRPr="001934E3" w:rsidRDefault="001934E3" w:rsidP="001934E3">
      <w:pPr>
        <w:rPr>
          <w:szCs w:val="24"/>
        </w:rPr>
      </w:pPr>
      <w:r w:rsidRPr="001934E3">
        <w:rPr>
          <w:szCs w:val="24"/>
        </w:rPr>
        <w:t>Sample 3 comprised 14</w:t>
      </w:r>
      <w:r w:rsidR="0090106E">
        <w:rPr>
          <w:szCs w:val="24"/>
        </w:rPr>
        <w:t>8</w:t>
      </w:r>
      <w:r w:rsidRPr="001934E3">
        <w:rPr>
          <w:szCs w:val="24"/>
        </w:rPr>
        <w:t xml:space="preserve"> Nepali nationals studying at Australian universities. They ranged in age from 18-31 years with a mean age of 2</w:t>
      </w:r>
      <w:r w:rsidR="00221E70">
        <w:rPr>
          <w:szCs w:val="24"/>
        </w:rPr>
        <w:t>3</w:t>
      </w:r>
      <w:r w:rsidRPr="001934E3">
        <w:rPr>
          <w:szCs w:val="24"/>
        </w:rPr>
        <w:t>.</w:t>
      </w:r>
      <w:r w:rsidR="00221E70">
        <w:rPr>
          <w:szCs w:val="24"/>
        </w:rPr>
        <w:t>45</w:t>
      </w:r>
      <w:r w:rsidRPr="001934E3">
        <w:rPr>
          <w:szCs w:val="24"/>
        </w:rPr>
        <w:t xml:space="preserve"> years</w:t>
      </w:r>
      <w:r w:rsidR="00B25CF9">
        <w:rPr>
          <w:szCs w:val="24"/>
        </w:rPr>
        <w:t xml:space="preserve"> </w:t>
      </w:r>
      <w:r w:rsidRPr="001934E3">
        <w:rPr>
          <w:szCs w:val="24"/>
        </w:rPr>
        <w:t>(SD</w:t>
      </w:r>
      <w:r w:rsidR="00E57E9C">
        <w:rPr>
          <w:szCs w:val="24"/>
        </w:rPr>
        <w:t xml:space="preserve"> </w:t>
      </w:r>
      <w:r w:rsidRPr="001934E3">
        <w:rPr>
          <w:szCs w:val="24"/>
        </w:rPr>
        <w:t>=</w:t>
      </w:r>
      <w:r w:rsidR="00E57E9C">
        <w:rPr>
          <w:szCs w:val="24"/>
        </w:rPr>
        <w:t xml:space="preserve"> </w:t>
      </w:r>
      <w:r w:rsidRPr="001934E3">
        <w:rPr>
          <w:szCs w:val="24"/>
        </w:rPr>
        <w:t>3.</w:t>
      </w:r>
      <w:r w:rsidR="007807EE">
        <w:rPr>
          <w:szCs w:val="24"/>
        </w:rPr>
        <w:t>80</w:t>
      </w:r>
      <w:r w:rsidRPr="001934E3">
        <w:rPr>
          <w:szCs w:val="24"/>
        </w:rPr>
        <w:t>). Sample 2 included 94 women (64%), 51 men (3</w:t>
      </w:r>
      <w:r w:rsidR="00355FCC">
        <w:rPr>
          <w:szCs w:val="24"/>
        </w:rPr>
        <w:t>4</w:t>
      </w:r>
      <w:r w:rsidRPr="001934E3">
        <w:rPr>
          <w:szCs w:val="24"/>
        </w:rPr>
        <w:t>%), and 1 participant who did not indicate their gender (1</w:t>
      </w:r>
      <w:bookmarkStart w:id="0" w:name="_GoBack"/>
      <w:bookmarkEnd w:id="0"/>
      <w:r w:rsidRPr="001934E3">
        <w:rPr>
          <w:szCs w:val="24"/>
        </w:rPr>
        <w:t>%).</w:t>
      </w:r>
    </w:p>
    <w:p w14:paraId="4CEE8FCE" w14:textId="411E7F32" w:rsidR="001934E3" w:rsidRPr="001934E3" w:rsidRDefault="006D403A" w:rsidP="006D403A">
      <w:pPr>
        <w:pStyle w:val="Heading2"/>
      </w:pPr>
      <w:r w:rsidRPr="001934E3">
        <w:t>Materials and procedure</w:t>
      </w:r>
    </w:p>
    <w:p w14:paraId="770FAA53" w14:textId="77777777" w:rsidR="001934E3" w:rsidRPr="001934E3" w:rsidRDefault="001934E3" w:rsidP="001934E3">
      <w:pPr>
        <w:rPr>
          <w:szCs w:val="24"/>
        </w:rPr>
      </w:pPr>
      <w:r w:rsidRPr="001934E3">
        <w:rPr>
          <w:szCs w:val="24"/>
        </w:rPr>
        <w:t>The study was approved by the Monash University Human Research Ethics Committee (Project ID: 22957) prior to the commencement of data collection. Participants were invited to participate in the online study via Facebook advertisements. Participation was voluntary, anonymous, and offered the opportunity to enter a draw (via a separate online form) for one of ten $100 Amazon vouchers.</w:t>
      </w:r>
    </w:p>
    <w:p w14:paraId="2F061FD9" w14:textId="0D635187" w:rsidR="001934E3" w:rsidRPr="001934E3" w:rsidRDefault="001934E3" w:rsidP="001934E3">
      <w:pPr>
        <w:rPr>
          <w:szCs w:val="24"/>
        </w:rPr>
      </w:pPr>
      <w:r w:rsidRPr="001934E3">
        <w:rPr>
          <w:szCs w:val="24"/>
        </w:rPr>
        <w:t xml:space="preserve">Participants completed a range of measures as part of </w:t>
      </w:r>
      <w:r w:rsidR="009D0B52">
        <w:rPr>
          <w:szCs w:val="24"/>
        </w:rPr>
        <w:t>the</w:t>
      </w:r>
      <w:r w:rsidRPr="001934E3">
        <w:rPr>
          <w:szCs w:val="24"/>
        </w:rPr>
        <w:t xml:space="preserve"> broader investigation of university student psychological wellbeing. Only the measures and data pertaining to the present study are reported here. The measures </w:t>
      </w:r>
      <w:r w:rsidR="006D403A">
        <w:rPr>
          <w:szCs w:val="24"/>
        </w:rPr>
        <w:t>were</w:t>
      </w:r>
      <w:r w:rsidRPr="001934E3">
        <w:rPr>
          <w:szCs w:val="24"/>
        </w:rPr>
        <w:t xml:space="preserve"> administered online at Qualtrics.com and included demographic items (age, gender, international-domestic student status, and home country), and measures of </w:t>
      </w:r>
      <w:r w:rsidR="000E3312">
        <w:rPr>
          <w:szCs w:val="24"/>
        </w:rPr>
        <w:t>contagion</w:t>
      </w:r>
      <w:r w:rsidRPr="001934E3">
        <w:rPr>
          <w:szCs w:val="24"/>
        </w:rPr>
        <w:t xml:space="preserve">-related fear, psychological distress (depression, anxiety and stress), </w:t>
      </w:r>
      <w:r w:rsidR="00471A2F">
        <w:rPr>
          <w:szCs w:val="24"/>
        </w:rPr>
        <w:t xml:space="preserve">subjective </w:t>
      </w:r>
      <w:r w:rsidRPr="001934E3">
        <w:rPr>
          <w:szCs w:val="24"/>
        </w:rPr>
        <w:t xml:space="preserve">wellbeing, and </w:t>
      </w:r>
      <w:r w:rsidR="00471A2F">
        <w:rPr>
          <w:szCs w:val="24"/>
        </w:rPr>
        <w:t>religiosity</w:t>
      </w:r>
      <w:r w:rsidRPr="001934E3">
        <w:rPr>
          <w:szCs w:val="24"/>
        </w:rPr>
        <w:t>.</w:t>
      </w:r>
    </w:p>
    <w:p w14:paraId="19009EAD" w14:textId="574D5C4B" w:rsidR="001934E3" w:rsidRPr="001934E3" w:rsidRDefault="008E034E" w:rsidP="006D403A">
      <w:pPr>
        <w:pStyle w:val="Heading3"/>
      </w:pPr>
      <w:r>
        <w:t>Contagion-related fear items</w:t>
      </w:r>
    </w:p>
    <w:p w14:paraId="47D41A54" w14:textId="15A95EE7" w:rsidR="001934E3" w:rsidRPr="001934E3" w:rsidRDefault="005217E1" w:rsidP="001934E3">
      <w:pPr>
        <w:rPr>
          <w:szCs w:val="24"/>
        </w:rPr>
      </w:pPr>
      <w:r>
        <w:rPr>
          <w:szCs w:val="24"/>
        </w:rPr>
        <w:t>Ho et al</w:t>
      </w:r>
      <w:r w:rsidR="006F7F04">
        <w:rPr>
          <w:szCs w:val="24"/>
        </w:rPr>
        <w:t>.’s</w:t>
      </w:r>
      <w:r w:rsidR="001934E3" w:rsidRPr="00663F41">
        <w:rPr>
          <w:szCs w:val="24"/>
        </w:rPr>
        <w:t xml:space="preserve"> </w:t>
      </w:r>
      <w:r w:rsidR="006F7F04">
        <w:rPr>
          <w:szCs w:val="24"/>
        </w:rPr>
        <w:t xml:space="preserve">(2005) </w:t>
      </w:r>
      <w:r w:rsidR="001934E3" w:rsidRPr="00663F41">
        <w:rPr>
          <w:szCs w:val="24"/>
        </w:rPr>
        <w:t>SARS-related fear scale was developed to measure</w:t>
      </w:r>
      <w:r w:rsidR="001934E3" w:rsidRPr="001934E3">
        <w:rPr>
          <w:szCs w:val="24"/>
        </w:rPr>
        <w:t xml:space="preserve"> the psychological impact of the 2002-2004 SARS outbreak on frontline health workers in Hong Kong hospitals. The 19-item scale comprises 18 items measuring fear of infection and one item measuring infection related self-efficacy. Factor analysis of the 18 fear items produced </w:t>
      </w:r>
      <w:r w:rsidR="00B65ECC">
        <w:rPr>
          <w:szCs w:val="24"/>
        </w:rPr>
        <w:t>three</w:t>
      </w:r>
      <w:r w:rsidR="001934E3" w:rsidRPr="001934E3">
        <w:rPr>
          <w:szCs w:val="24"/>
        </w:rPr>
        <w:t xml:space="preserve"> significant </w:t>
      </w:r>
      <w:r w:rsidR="00C92A04">
        <w:rPr>
          <w:szCs w:val="24"/>
        </w:rPr>
        <w:t xml:space="preserve">3-item </w:t>
      </w:r>
      <w:r w:rsidR="001934E3" w:rsidRPr="001934E3">
        <w:rPr>
          <w:szCs w:val="24"/>
        </w:rPr>
        <w:t>factors: 1) fear of infection (</w:t>
      </w:r>
      <w:r w:rsidR="00EE6CEB">
        <w:rPr>
          <w:szCs w:val="24"/>
        </w:rPr>
        <w:t>i.e</w:t>
      </w:r>
      <w:r w:rsidR="001934E3" w:rsidRPr="001934E3">
        <w:rPr>
          <w:szCs w:val="24"/>
        </w:rPr>
        <w:t xml:space="preserve">., </w:t>
      </w:r>
      <w:r w:rsidR="001934E3" w:rsidRPr="001F13C3">
        <w:rPr>
          <w:i/>
          <w:iCs/>
          <w:szCs w:val="24"/>
        </w:rPr>
        <w:t>Fear I will be infected</w:t>
      </w:r>
      <w:r w:rsidR="004A09DE" w:rsidRPr="001F13C3">
        <w:rPr>
          <w:i/>
          <w:iCs/>
          <w:szCs w:val="24"/>
        </w:rPr>
        <w:t xml:space="preserve">, Worry if my family will be infected, </w:t>
      </w:r>
      <w:r w:rsidR="00F87C43" w:rsidRPr="001F13C3">
        <w:rPr>
          <w:i/>
          <w:iCs/>
          <w:szCs w:val="24"/>
        </w:rPr>
        <w:t>and I fear that I will infect others</w:t>
      </w:r>
      <w:r w:rsidR="001934E3" w:rsidRPr="001934E3">
        <w:rPr>
          <w:szCs w:val="24"/>
        </w:rPr>
        <w:t>), 2) feelings of insecurity (</w:t>
      </w:r>
      <w:r w:rsidR="005B635A">
        <w:rPr>
          <w:szCs w:val="24"/>
        </w:rPr>
        <w:t>i.e</w:t>
      </w:r>
      <w:r w:rsidR="005B635A" w:rsidRPr="001934E3">
        <w:rPr>
          <w:szCs w:val="24"/>
        </w:rPr>
        <w:t>.,</w:t>
      </w:r>
      <w:r w:rsidR="001934E3" w:rsidRPr="001934E3">
        <w:rPr>
          <w:szCs w:val="24"/>
        </w:rPr>
        <w:t xml:space="preserve"> </w:t>
      </w:r>
      <w:r w:rsidR="006F757C" w:rsidRPr="001F13C3">
        <w:rPr>
          <w:i/>
          <w:iCs/>
          <w:szCs w:val="24"/>
        </w:rPr>
        <w:t xml:space="preserve">Feel that I have lost control of life, </w:t>
      </w:r>
      <w:r w:rsidR="001934E3" w:rsidRPr="001F13C3">
        <w:rPr>
          <w:i/>
          <w:iCs/>
          <w:szCs w:val="24"/>
        </w:rPr>
        <w:t>Feel that life is threatening</w:t>
      </w:r>
      <w:r w:rsidR="00F87C43" w:rsidRPr="001F13C3">
        <w:rPr>
          <w:i/>
          <w:iCs/>
          <w:szCs w:val="24"/>
        </w:rPr>
        <w:t>,</w:t>
      </w:r>
      <w:r w:rsidR="006F757C" w:rsidRPr="001F13C3">
        <w:rPr>
          <w:i/>
          <w:iCs/>
          <w:szCs w:val="24"/>
        </w:rPr>
        <w:t xml:space="preserve"> and Feel very unsafe about myself</w:t>
      </w:r>
      <w:r w:rsidR="00F87C43">
        <w:rPr>
          <w:szCs w:val="24"/>
        </w:rPr>
        <w:t xml:space="preserve"> </w:t>
      </w:r>
      <w:r w:rsidR="001934E3" w:rsidRPr="001934E3">
        <w:rPr>
          <w:szCs w:val="24"/>
        </w:rPr>
        <w:t>), and sense of job-related instability (</w:t>
      </w:r>
      <w:r w:rsidR="005B635A">
        <w:rPr>
          <w:szCs w:val="24"/>
        </w:rPr>
        <w:t>i.e</w:t>
      </w:r>
      <w:r w:rsidR="005B635A" w:rsidRPr="001934E3">
        <w:rPr>
          <w:szCs w:val="24"/>
        </w:rPr>
        <w:t>.,</w:t>
      </w:r>
      <w:r w:rsidR="001934E3" w:rsidRPr="001934E3">
        <w:rPr>
          <w:szCs w:val="24"/>
        </w:rPr>
        <w:t xml:space="preserve"> </w:t>
      </w:r>
      <w:r w:rsidR="006B0C3F" w:rsidRPr="001F13C3">
        <w:rPr>
          <w:i/>
          <w:iCs/>
          <w:szCs w:val="24"/>
        </w:rPr>
        <w:t xml:space="preserve">Worry if my friends and family will keep a distance from me due to my job duties, </w:t>
      </w:r>
      <w:r w:rsidR="001934E3" w:rsidRPr="001F13C3">
        <w:rPr>
          <w:i/>
          <w:iCs/>
          <w:szCs w:val="24"/>
        </w:rPr>
        <w:t>Fear distressed because of the upsurge in workload</w:t>
      </w:r>
      <w:r w:rsidR="004C41F0" w:rsidRPr="001F13C3">
        <w:rPr>
          <w:i/>
          <w:iCs/>
          <w:szCs w:val="24"/>
        </w:rPr>
        <w:t>, and Worry if I will be assigned to SARS wards</w:t>
      </w:r>
      <w:r w:rsidR="001934E3" w:rsidRPr="001934E3">
        <w:rPr>
          <w:szCs w:val="24"/>
        </w:rPr>
        <w:t>).</w:t>
      </w:r>
    </w:p>
    <w:p w14:paraId="2F02ED4C" w14:textId="066F1F52" w:rsidR="001934E3" w:rsidRPr="001934E3" w:rsidRDefault="001934E3" w:rsidP="001934E3">
      <w:pPr>
        <w:rPr>
          <w:szCs w:val="24"/>
        </w:rPr>
      </w:pPr>
      <w:r w:rsidRPr="001934E3">
        <w:rPr>
          <w:szCs w:val="24"/>
        </w:rPr>
        <w:t xml:space="preserve">For the present study, </w:t>
      </w:r>
      <w:r w:rsidR="00A116D7">
        <w:rPr>
          <w:szCs w:val="24"/>
        </w:rPr>
        <w:t>the six item</w:t>
      </w:r>
      <w:r w:rsidR="000E3511">
        <w:rPr>
          <w:szCs w:val="24"/>
        </w:rPr>
        <w:t>s</w:t>
      </w:r>
      <w:r w:rsidR="00A116D7">
        <w:rPr>
          <w:szCs w:val="24"/>
        </w:rPr>
        <w:t xml:space="preserve"> making up </w:t>
      </w:r>
      <w:r w:rsidR="00B309E2">
        <w:rPr>
          <w:szCs w:val="24"/>
        </w:rPr>
        <w:t xml:space="preserve">Ho et </w:t>
      </w:r>
      <w:r w:rsidR="00B309E2" w:rsidRPr="00A045DF">
        <w:rPr>
          <w:szCs w:val="24"/>
        </w:rPr>
        <w:t>al.’</w:t>
      </w:r>
      <w:r w:rsidR="00996BF4" w:rsidRPr="00A045DF">
        <w:rPr>
          <w:szCs w:val="24"/>
        </w:rPr>
        <w:t>s</w:t>
      </w:r>
      <w:r w:rsidR="00B309E2" w:rsidRPr="00A045DF">
        <w:rPr>
          <w:szCs w:val="24"/>
        </w:rPr>
        <w:t xml:space="preserve"> (2005) </w:t>
      </w:r>
      <w:r w:rsidR="00A116D7" w:rsidRPr="00A045DF">
        <w:rPr>
          <w:szCs w:val="24"/>
        </w:rPr>
        <w:t>fear</w:t>
      </w:r>
      <w:r w:rsidR="00A116D7">
        <w:rPr>
          <w:szCs w:val="24"/>
        </w:rPr>
        <w:t xml:space="preserve"> of infection and feelings of insecurity</w:t>
      </w:r>
      <w:r w:rsidR="000E3511">
        <w:rPr>
          <w:szCs w:val="24"/>
        </w:rPr>
        <w:t xml:space="preserve"> factors were retained, </w:t>
      </w:r>
      <w:r w:rsidR="00A725DC">
        <w:rPr>
          <w:szCs w:val="24"/>
        </w:rPr>
        <w:t xml:space="preserve">providing </w:t>
      </w:r>
      <w:r w:rsidRPr="001934E3">
        <w:rPr>
          <w:szCs w:val="24"/>
        </w:rPr>
        <w:t xml:space="preserve">a focused, </w:t>
      </w:r>
      <w:r w:rsidR="000E3511">
        <w:rPr>
          <w:szCs w:val="24"/>
        </w:rPr>
        <w:t>6</w:t>
      </w:r>
      <w:r w:rsidRPr="001934E3">
        <w:rPr>
          <w:szCs w:val="24"/>
        </w:rPr>
        <w:t xml:space="preserve">-item measure. In the present study, each item included the stem, </w:t>
      </w:r>
      <w:proofErr w:type="gramStart"/>
      <w:r w:rsidRPr="00C03D72">
        <w:rPr>
          <w:i/>
          <w:iCs/>
          <w:szCs w:val="24"/>
        </w:rPr>
        <w:t>The</w:t>
      </w:r>
      <w:proofErr w:type="gramEnd"/>
      <w:r w:rsidRPr="00C03D72">
        <w:rPr>
          <w:i/>
          <w:iCs/>
          <w:szCs w:val="24"/>
        </w:rPr>
        <w:t xml:space="preserve"> current COVID-19 pandemic makes me</w:t>
      </w:r>
      <w:r w:rsidR="00C03D72">
        <w:rPr>
          <w:i/>
          <w:iCs/>
          <w:szCs w:val="24"/>
        </w:rPr>
        <w:t>…</w:t>
      </w:r>
      <w:r w:rsidRPr="00C03D72">
        <w:rPr>
          <w:i/>
          <w:iCs/>
          <w:szCs w:val="24"/>
        </w:rPr>
        <w:t>.</w:t>
      </w:r>
      <w:r w:rsidRPr="001934E3">
        <w:rPr>
          <w:szCs w:val="24"/>
        </w:rPr>
        <w:t xml:space="preserve"> The name of the disease </w:t>
      </w:r>
      <w:r w:rsidRPr="001934E3">
        <w:rPr>
          <w:szCs w:val="24"/>
        </w:rPr>
        <w:lastRenderedPageBreak/>
        <w:t xml:space="preserve">or outbreak can be changed as necessary. Participants responded to each item on a 4-point Likert scale where </w:t>
      </w:r>
      <w:r w:rsidRPr="004D26B5">
        <w:rPr>
          <w:i/>
          <w:iCs/>
          <w:szCs w:val="24"/>
        </w:rPr>
        <w:t>0</w:t>
      </w:r>
      <w:r w:rsidR="002164DA">
        <w:rPr>
          <w:i/>
          <w:iCs/>
          <w:szCs w:val="24"/>
        </w:rPr>
        <w:t xml:space="preserve"> </w:t>
      </w:r>
      <w:r w:rsidRPr="004D26B5">
        <w:rPr>
          <w:i/>
          <w:iCs/>
          <w:szCs w:val="24"/>
        </w:rPr>
        <w:t>=</w:t>
      </w:r>
      <w:r w:rsidR="002164DA">
        <w:rPr>
          <w:i/>
          <w:iCs/>
          <w:szCs w:val="24"/>
        </w:rPr>
        <w:t xml:space="preserve"> </w:t>
      </w:r>
      <w:proofErr w:type="gramStart"/>
      <w:r w:rsidRPr="004D26B5">
        <w:rPr>
          <w:i/>
          <w:iCs/>
          <w:szCs w:val="24"/>
        </w:rPr>
        <w:t>Definitely false</w:t>
      </w:r>
      <w:proofErr w:type="gramEnd"/>
      <w:r w:rsidRPr="001934E3">
        <w:rPr>
          <w:szCs w:val="24"/>
        </w:rPr>
        <w:t xml:space="preserve"> and </w:t>
      </w:r>
      <w:r w:rsidRPr="004D26B5">
        <w:rPr>
          <w:i/>
          <w:iCs/>
          <w:szCs w:val="24"/>
        </w:rPr>
        <w:t>3</w:t>
      </w:r>
      <w:r w:rsidR="002164DA">
        <w:rPr>
          <w:i/>
          <w:iCs/>
          <w:szCs w:val="24"/>
        </w:rPr>
        <w:t xml:space="preserve"> </w:t>
      </w:r>
      <w:r w:rsidRPr="004D26B5">
        <w:rPr>
          <w:i/>
          <w:iCs/>
          <w:szCs w:val="24"/>
        </w:rPr>
        <w:t>=</w:t>
      </w:r>
      <w:r w:rsidR="002164DA">
        <w:rPr>
          <w:i/>
          <w:iCs/>
          <w:szCs w:val="24"/>
        </w:rPr>
        <w:t xml:space="preserve"> </w:t>
      </w:r>
      <w:r w:rsidRPr="004D26B5">
        <w:rPr>
          <w:i/>
          <w:iCs/>
          <w:szCs w:val="24"/>
        </w:rPr>
        <w:t>Definitely true</w:t>
      </w:r>
      <w:r w:rsidR="00B976BD">
        <w:rPr>
          <w:i/>
          <w:iCs/>
          <w:szCs w:val="24"/>
        </w:rPr>
        <w:t>.</w:t>
      </w:r>
    </w:p>
    <w:p w14:paraId="1E563BDA" w14:textId="77777777" w:rsidR="001934E3" w:rsidRPr="001934E3" w:rsidRDefault="001934E3" w:rsidP="006D403A">
      <w:pPr>
        <w:pStyle w:val="Heading3"/>
      </w:pPr>
      <w:r w:rsidRPr="001934E3">
        <w:t>Depression, Anxiety, and Stress Scales-21</w:t>
      </w:r>
    </w:p>
    <w:p w14:paraId="6D42D95C" w14:textId="0C4BF094" w:rsidR="001934E3" w:rsidRPr="001934E3" w:rsidRDefault="001934E3" w:rsidP="001934E3">
      <w:pPr>
        <w:rPr>
          <w:szCs w:val="24"/>
        </w:rPr>
      </w:pPr>
      <w:r w:rsidRPr="001934E3">
        <w:rPr>
          <w:szCs w:val="24"/>
        </w:rPr>
        <w:t xml:space="preserve">A short form of the 42-item Depression, Anxiety and </w:t>
      </w:r>
      <w:r w:rsidRPr="006C1D4C">
        <w:rPr>
          <w:szCs w:val="24"/>
        </w:rPr>
        <w:t xml:space="preserve">Stress Scales (DASS; </w:t>
      </w:r>
      <w:r w:rsidR="00E0387A" w:rsidRPr="006C1D4C">
        <w:rPr>
          <w:szCs w:val="24"/>
        </w:rPr>
        <w:fldChar w:fldCharType="begin"/>
      </w:r>
      <w:r w:rsidR="003F2FC6">
        <w:rPr>
          <w:szCs w:val="24"/>
        </w:rPr>
        <w:instrText xml:space="preserve"> ADDIN ZOTERO_ITEM CSL_CITATION {"citationID":"PYJQhLG1","properties":{"formattedCitation":"(Lovibond &amp; Lovibond, 1996)","plainCitation":"(Lovibond &amp; Lovibond, 1996)","dontUpdate":true,"noteIndex":0},"citationItems":[{"id":563,"uris":["http://zotero.org/users/6223488/items/E9RRNGFB"],"uri":["http://zotero.org/users/6223488/items/E9RRNGFB"],"itemData":{"id":563,"type":"article","language":"English","publisher":"The Psychology Foundation of Australia Inc.","title":"Manual for the Depression, Anxiety, Stress Scales.","title-short":"Manual for the Depression Anxiety Stress Scales","URL":"http://www2.psy.unsw.edu.au/dass//","author":[{"family":"Lovibond","given":"Sydney H"},{"family":"Lovibond","given":"Peter F"}],"issued":{"date-parts":[["1996"]]}}}],"schema":"https://github.com/citation-style-language/schema/raw/master/csl-citation.json"} </w:instrText>
      </w:r>
      <w:r w:rsidR="00E0387A" w:rsidRPr="006C1D4C">
        <w:rPr>
          <w:szCs w:val="24"/>
        </w:rPr>
        <w:fldChar w:fldCharType="separate"/>
      </w:r>
      <w:r w:rsidR="001B2E49" w:rsidRPr="001B2E49">
        <w:rPr>
          <w:rFonts w:cs="Times New Roman"/>
        </w:rPr>
        <w:t>Lovibond &amp; Lovibond, 1996)</w:t>
      </w:r>
      <w:r w:rsidR="00E0387A" w:rsidRPr="006C1D4C">
        <w:rPr>
          <w:szCs w:val="24"/>
        </w:rPr>
        <w:fldChar w:fldCharType="end"/>
      </w:r>
      <w:r w:rsidRPr="006C1D4C">
        <w:rPr>
          <w:szCs w:val="24"/>
        </w:rPr>
        <w:t>, the Depression, Anxiety and Stress Scales-21 (DASS-21) is a 21-item scale comprising three 7-item subscales measuring symptoms of depression (e.g</w:t>
      </w:r>
      <w:r w:rsidRPr="001934E3">
        <w:rPr>
          <w:szCs w:val="24"/>
        </w:rPr>
        <w:t xml:space="preserve">., </w:t>
      </w:r>
      <w:r w:rsidRPr="004B13B7">
        <w:rPr>
          <w:i/>
          <w:iCs/>
          <w:szCs w:val="24"/>
        </w:rPr>
        <w:t>I felt that I had nothing to look forward to</w:t>
      </w:r>
      <w:r w:rsidRPr="001934E3">
        <w:rPr>
          <w:szCs w:val="24"/>
        </w:rPr>
        <w:t xml:space="preserve">), anxiety (e.g., </w:t>
      </w:r>
      <w:r w:rsidRPr="004B13B7">
        <w:rPr>
          <w:i/>
          <w:iCs/>
          <w:szCs w:val="24"/>
        </w:rPr>
        <w:t>I felt I was close to panic</w:t>
      </w:r>
      <w:r w:rsidRPr="001934E3">
        <w:rPr>
          <w:szCs w:val="24"/>
        </w:rPr>
        <w:t xml:space="preserve">), and stress (e.g., </w:t>
      </w:r>
      <w:r w:rsidRPr="004B13B7">
        <w:rPr>
          <w:i/>
          <w:iCs/>
          <w:szCs w:val="24"/>
        </w:rPr>
        <w:t>I found it difficult to relax</w:t>
      </w:r>
      <w:r w:rsidRPr="001934E3">
        <w:rPr>
          <w:szCs w:val="24"/>
        </w:rPr>
        <w:t xml:space="preserve">). Participants respond to items on a 4-point Likert scale where </w:t>
      </w:r>
      <w:r w:rsidRPr="00C33B50">
        <w:rPr>
          <w:i/>
          <w:iCs/>
          <w:szCs w:val="24"/>
        </w:rPr>
        <w:t>0</w:t>
      </w:r>
      <w:r w:rsidR="00D37178" w:rsidRPr="00C33B50">
        <w:rPr>
          <w:i/>
          <w:iCs/>
          <w:szCs w:val="24"/>
        </w:rPr>
        <w:t xml:space="preserve"> </w:t>
      </w:r>
      <w:r w:rsidRPr="00C33B50">
        <w:rPr>
          <w:i/>
          <w:iCs/>
          <w:szCs w:val="24"/>
        </w:rPr>
        <w:t>=</w:t>
      </w:r>
      <w:r w:rsidR="00D37178" w:rsidRPr="00C33B50">
        <w:rPr>
          <w:i/>
          <w:iCs/>
          <w:szCs w:val="24"/>
        </w:rPr>
        <w:t xml:space="preserve"> </w:t>
      </w:r>
      <w:r w:rsidRPr="00C33B50">
        <w:rPr>
          <w:i/>
          <w:iCs/>
          <w:szCs w:val="24"/>
        </w:rPr>
        <w:t>Never</w:t>
      </w:r>
      <w:r w:rsidRPr="001934E3">
        <w:rPr>
          <w:szCs w:val="24"/>
        </w:rPr>
        <w:t xml:space="preserve"> and </w:t>
      </w:r>
      <w:r w:rsidRPr="00C33B50">
        <w:rPr>
          <w:i/>
          <w:iCs/>
          <w:szCs w:val="24"/>
        </w:rPr>
        <w:t>3</w:t>
      </w:r>
      <w:r w:rsidR="00A9425E" w:rsidRPr="00C33B50">
        <w:rPr>
          <w:i/>
          <w:iCs/>
          <w:szCs w:val="24"/>
        </w:rPr>
        <w:t xml:space="preserve"> </w:t>
      </w:r>
      <w:r w:rsidRPr="00C33B50">
        <w:rPr>
          <w:i/>
          <w:iCs/>
          <w:szCs w:val="24"/>
        </w:rPr>
        <w:t>=</w:t>
      </w:r>
      <w:r w:rsidR="00A9425E" w:rsidRPr="00C33B50">
        <w:rPr>
          <w:i/>
          <w:iCs/>
          <w:szCs w:val="24"/>
        </w:rPr>
        <w:t xml:space="preserve"> </w:t>
      </w:r>
      <w:r w:rsidRPr="00C33B50">
        <w:rPr>
          <w:i/>
          <w:iCs/>
          <w:szCs w:val="24"/>
        </w:rPr>
        <w:t>Almost always</w:t>
      </w:r>
      <w:r w:rsidRPr="001934E3">
        <w:rPr>
          <w:szCs w:val="24"/>
        </w:rPr>
        <w:t xml:space="preserve">. Item responses are </w:t>
      </w:r>
      <w:r w:rsidR="00B83024">
        <w:rPr>
          <w:szCs w:val="24"/>
        </w:rPr>
        <w:t>summed</w:t>
      </w:r>
      <w:r w:rsidRPr="001934E3">
        <w:rPr>
          <w:szCs w:val="24"/>
        </w:rPr>
        <w:t xml:space="preserve"> to create subscale scores and a total score. The DASS-21 authors recommend doubling the subscale and total scores so that they can be compared with scores from the original 42-item DASS-42, however, this was not considered necessary in the present study. As such, DASS-21 total scores are reported from a possible range of 0</w:t>
      </w:r>
      <w:r w:rsidR="00851306">
        <w:rPr>
          <w:szCs w:val="24"/>
        </w:rPr>
        <w:t xml:space="preserve"> </w:t>
      </w:r>
      <w:r w:rsidRPr="001934E3">
        <w:rPr>
          <w:szCs w:val="24"/>
        </w:rPr>
        <w:t>-</w:t>
      </w:r>
      <w:r w:rsidR="00851306">
        <w:rPr>
          <w:szCs w:val="24"/>
        </w:rPr>
        <w:t xml:space="preserve"> </w:t>
      </w:r>
      <w:r w:rsidRPr="001934E3">
        <w:rPr>
          <w:szCs w:val="24"/>
        </w:rPr>
        <w:t>63 and subscales scores are reported from a possible range of 0</w:t>
      </w:r>
      <w:r w:rsidR="00851306">
        <w:rPr>
          <w:szCs w:val="24"/>
        </w:rPr>
        <w:t xml:space="preserve"> </w:t>
      </w:r>
      <w:r w:rsidRPr="001934E3">
        <w:rPr>
          <w:szCs w:val="24"/>
        </w:rPr>
        <w:t>-</w:t>
      </w:r>
      <w:r w:rsidR="00851306">
        <w:rPr>
          <w:szCs w:val="24"/>
        </w:rPr>
        <w:t xml:space="preserve"> </w:t>
      </w:r>
      <w:r w:rsidRPr="001934E3">
        <w:rPr>
          <w:szCs w:val="24"/>
        </w:rPr>
        <w:t xml:space="preserve">21. </w:t>
      </w:r>
    </w:p>
    <w:p w14:paraId="38997CFB" w14:textId="4B98E9F5" w:rsidR="001934E3" w:rsidRPr="001934E3" w:rsidRDefault="001934E3" w:rsidP="001934E3">
      <w:pPr>
        <w:rPr>
          <w:szCs w:val="24"/>
        </w:rPr>
      </w:pPr>
      <w:r w:rsidRPr="001934E3">
        <w:rPr>
          <w:szCs w:val="24"/>
        </w:rPr>
        <w:t>The DASS-21 demonstrates good to excellent internal consistency. Cronbach’s αs have been reported ranging from .82</w:t>
      </w:r>
      <w:r w:rsidR="00C10F56">
        <w:rPr>
          <w:szCs w:val="24"/>
        </w:rPr>
        <w:t xml:space="preserve"> </w:t>
      </w:r>
      <w:r w:rsidRPr="001934E3">
        <w:rPr>
          <w:szCs w:val="24"/>
        </w:rPr>
        <w:t>-</w:t>
      </w:r>
      <w:r w:rsidR="00C10F56">
        <w:rPr>
          <w:szCs w:val="24"/>
        </w:rPr>
        <w:t xml:space="preserve"> </w:t>
      </w:r>
      <w:r w:rsidRPr="001934E3">
        <w:rPr>
          <w:szCs w:val="24"/>
        </w:rPr>
        <w:t>.90 for Depression, .74</w:t>
      </w:r>
      <w:r w:rsidR="00C10F56">
        <w:rPr>
          <w:szCs w:val="24"/>
        </w:rPr>
        <w:t xml:space="preserve"> </w:t>
      </w:r>
      <w:r w:rsidRPr="001934E3">
        <w:rPr>
          <w:szCs w:val="24"/>
        </w:rPr>
        <w:t>-</w:t>
      </w:r>
      <w:r w:rsidR="00C10F56">
        <w:rPr>
          <w:szCs w:val="24"/>
        </w:rPr>
        <w:t xml:space="preserve"> </w:t>
      </w:r>
      <w:r w:rsidRPr="001934E3">
        <w:rPr>
          <w:szCs w:val="24"/>
        </w:rPr>
        <w:t>.83 for Anxiety, and 82</w:t>
      </w:r>
      <w:r w:rsidR="00C10F56">
        <w:rPr>
          <w:szCs w:val="24"/>
        </w:rPr>
        <w:t xml:space="preserve"> </w:t>
      </w:r>
      <w:r w:rsidRPr="001934E3">
        <w:rPr>
          <w:szCs w:val="24"/>
        </w:rPr>
        <w:t>-</w:t>
      </w:r>
      <w:r w:rsidR="00C10F56">
        <w:rPr>
          <w:szCs w:val="24"/>
        </w:rPr>
        <w:t xml:space="preserve"> </w:t>
      </w:r>
      <w:r w:rsidRPr="001934E3">
        <w:rPr>
          <w:szCs w:val="24"/>
        </w:rPr>
        <w:t>.87 fo</w:t>
      </w:r>
      <w:r w:rsidRPr="006E4B0B">
        <w:rPr>
          <w:szCs w:val="24"/>
        </w:rPr>
        <w:t xml:space="preserve">r Stress, across several countries </w:t>
      </w:r>
      <w:r w:rsidR="003950BE" w:rsidRPr="006E4B0B">
        <w:rPr>
          <w:szCs w:val="24"/>
        </w:rPr>
        <w:fldChar w:fldCharType="begin"/>
      </w:r>
      <w:r w:rsidR="003F2FC6">
        <w:rPr>
          <w:szCs w:val="24"/>
        </w:rPr>
        <w:instrText xml:space="preserve"> ADDIN ZOTERO_ITEM CSL_CITATION {"citationID":"IHth8JwW","properties":{"formattedCitation":"(Lee, 2019)","plainCitation":"(Lee, 2019)","dontUpdate":true,"noteIndex":0},"citationItems":[{"id":466,"uris":["http://zotero.org/users/6223488/items/G93FGA2V"],"uri":["http://zotero.org/users/6223488/items/G93FGA2V"],"itemData":{"id":466,"type":"article-journal","abstract":"Background: Previous validity studies of Depression Anxiety Stress Scales-21 (DASS-21) through confirmatory factor analysis (CFA) were limited by yielding poor factor loading values and eventually skipping the critical process addressing convergent, discriminant, and nomological validity. Without the crucial process, it was risky that past studies insisted DASS-21 be ready for use. Therefore, the current study examined DASS-21 regarding the three kinds of validity to determine if DASS-21 can be further used in the future.\nMethods: The current study formulated a CFA model (i.e., modified one-factor model) of DASS-21, which yielded factor loading values over β = 0.70 and estimated a latent variable of Psychological Distress by employing indicators of Depression, Anxiety, and Stress. The data collection was conducted at two universities in the U.S. and South Korea in November 2016 (N = 255). The study participants completed an online survey developed with DASS-21. With the collected data, the present study investigated the convergent, discriminant, and nomological validity of the modified one-factor model of DASS-21 through CFA.\nResults: The model fit of the modified one-factor model was complete as saturated. The convergent validity coefficient of Psychological Distress was 0.87, and average variance extracted of the variable was 0.68. The three correlations among the measured variables (i.e., indicators) were 0.50 &lt; r &lt; 0.75. Limitations: Application of the current study's findings to youth or older adults can be limited as the subjects were young adults.\nConclusions: The current study made substantial evidence regarding the convergent, discriminant, and nomological validity of DASS-21 through CFA.","container-title":"Journal of Affective Disorders","DOI":"10.1016/j.jad.2019.06.036","ISSN":"01650327","journalAbbreviation":"Journal of Affective Disorders","language":"en","page":"136-142","source":"DOI.org (Crossref)","title":"The convergent, discriminant, and nomological validity of the Depression Anxiety Stress Scales-21 (DASS-21)","URL":"https://linkinghub.elsevier.com/retrieve/pii/S0165032718332506","volume":"259","author":[{"family":"Lee","given":"Dohyun"}],"accessed":{"date-parts":[["2020",5,31]]},"issued":{"date-parts":[["2019",12]]}}}],"schema":"https://github.com/citation-style-language/schema/raw/master/csl-citation.json"} </w:instrText>
      </w:r>
      <w:r w:rsidR="003950BE" w:rsidRPr="006E4B0B">
        <w:rPr>
          <w:szCs w:val="24"/>
        </w:rPr>
        <w:fldChar w:fldCharType="separate"/>
      </w:r>
      <w:r w:rsidR="001B2E49" w:rsidRPr="001B2E49">
        <w:rPr>
          <w:rFonts w:cs="Times New Roman"/>
        </w:rPr>
        <w:t>(Lee, 2019</w:t>
      </w:r>
      <w:r w:rsidR="003950BE" w:rsidRPr="006E4B0B">
        <w:rPr>
          <w:szCs w:val="24"/>
        </w:rPr>
        <w:fldChar w:fldCharType="end"/>
      </w:r>
      <w:r w:rsidR="008C4C61">
        <w:rPr>
          <w:szCs w:val="24"/>
        </w:rPr>
        <w:t xml:space="preserve">; </w:t>
      </w:r>
      <w:r w:rsidR="00B227D8" w:rsidRPr="006E4B0B">
        <w:rPr>
          <w:szCs w:val="24"/>
        </w:rPr>
        <w:fldChar w:fldCharType="begin"/>
      </w:r>
      <w:r w:rsidR="003F2FC6">
        <w:rPr>
          <w:szCs w:val="24"/>
        </w:rPr>
        <w:instrText xml:space="preserve"> ADDIN ZOTERO_ITEM CSL_CITATION {"citationID":"4f3MOq7K","properties":{"formattedCitation":"(Rosenthal et al., 2008)","plainCitation":"(Rosenthal et al., 2008)","dontUpdate":true,"noteIndex":0},"citationItems":[{"id":140,"uris":["http://zotero.org/users/6223488/items/EIKIBZM8"],"uri":["http://zotero.org/users/6223488/items/EIKIBZM8"],"itemData":{"id":140,"type":"article-journal","abstract":"A representative sample of undergraduate and postgraduate international students at a large Australian university (n=979, 64% females) completed a mail-back survey of their health and wellbeing. Most students evaluated their current and previous physical and mental health positively. Health-related risk practices such as unprotected sexual activity, drug use, smoking and gambling, were reported by few students. There was little change in health or risk behaviours since coming to Australia and few changes that were health compromising. Few demographic or situational variables, including age and gender, had a signiﬁcant impact on students’ wellbeing. This study has revealed that few international students ﬁnd the experience of studying in an overseas country detrimental to their wellbeing. Nevertheless, for those students who encounter difﬁculties or are at increased risk of healthcompromising outcomes, we must ensure better delivery of health promotion education, and access to, and use of, available counselling and health services.","container-title":"Higher Education","DOI":"10.1007/s10734-006-9037-1","ISSN":"0018-1560, 1573-174X","issue":"1","journalAbbreviation":"High Educ","language":"en","page":"51-67","source":"DOI.org (Crossref)","title":"The health and wellbeing of international students at an Australian university","URL":"http://link.springer.com/10.1007/s10734-006-9037-1","volume":"55","author":[{"family":"Rosenthal","given":"Doreen Anne"},{"family":"Russell","given":"Jean"},{"family":"Thomson","given":"Garry"}],"accessed":{"date-parts":[["2020",1,12]]},"issued":{"date-parts":[["2008",1]]}}}],"schema":"https://github.com/citation-style-language/schema/raw/master/csl-citation.json"} </w:instrText>
      </w:r>
      <w:r w:rsidR="00B227D8" w:rsidRPr="006E4B0B">
        <w:rPr>
          <w:szCs w:val="24"/>
        </w:rPr>
        <w:fldChar w:fldCharType="separate"/>
      </w:r>
      <w:r w:rsidR="001B2E49" w:rsidRPr="001B2E49">
        <w:rPr>
          <w:rFonts w:cs="Times New Roman"/>
        </w:rPr>
        <w:t>Rosenthal et al., 2008</w:t>
      </w:r>
      <w:r w:rsidR="008C4C61">
        <w:rPr>
          <w:rFonts w:cs="Times New Roman"/>
        </w:rPr>
        <w:t xml:space="preserve">; </w:t>
      </w:r>
      <w:r w:rsidR="00B227D8" w:rsidRPr="006E4B0B">
        <w:rPr>
          <w:szCs w:val="24"/>
        </w:rPr>
        <w:fldChar w:fldCharType="end"/>
      </w:r>
      <w:r w:rsidR="00B227D8" w:rsidRPr="006E4B0B">
        <w:rPr>
          <w:szCs w:val="24"/>
        </w:rPr>
        <w:fldChar w:fldCharType="begin"/>
      </w:r>
      <w:r w:rsidR="003F2FC6">
        <w:rPr>
          <w:szCs w:val="24"/>
        </w:rPr>
        <w:instrText xml:space="preserve"> ADDIN ZOTERO_ITEM CSL_CITATION {"citationID":"hXucGuy9","properties":{"formattedCitation":"(Zanon et al., 2020)","plainCitation":"(Zanon et al., 2020)","dontUpdate":true,"noteIndex":0},"citationItems":[{"id":453,"uris":["http://zotero.org/users/6223488/items/YJNDIXRW"],"uri":["http://zotero.org/users/6223488/items/YJNDIXRW"],"itemData":{"id":453,"type":"article-journal","abstract":"This study evaluated the dimensionality, invariance, and reliability of the Depression, Anxiety, and Stress Scale–21 (DASS21) within and across Brazil, Canada, Hong Kong, Romania, Taiwan, Turkey, United Arab Emirates, and the United States (N = 2,580) in college student samples. We used confirmatory factor analyses to compare the fit of four different factor structures of the DASS-21: a unidimensional model, a three-correlated-factors model, a higher order model, and a bifactor model. The bifactor model, with three specific factors (depression, anxiety, and stress) and one general factor (general distress), presented the best fit within each country. We also calculated ancillary bifactor indices of model-based dimensionality of the DASS-21 and model-based reliability to further examine the validity of the composite total and subscale scores and the use of unidimensional modeling. Results suggested the DASS-21 can be used as a unidimensional scale. Finally, measurement invariance of the best fitting model was tested across countries indicating configural invariance. The traditional three-correlated-factors model presented scalar invariance across Canada, Hong Kong, Romania, Taiwan, and the United States. Overall, these analyses indicate that the DASS-21 would best be used as a general score of distress rather than three separate factors of depression, anxiety, and stress, in the countries studied.","container-title":"Assessment","DOI":"10.1177/1073191119887449","ISSN":"1073-1911, 1552-3489","journalAbbreviation":"Assessment","language":"en","page":"107319111988744","source":"DOI.org (Crossref)","title":"Examining the Dimensionality, Reliability, and Invariance of the Depression, Anxiety, and Stress Scale–21 (DASS-21) Across Eight Countries","URL":"http://journals.sagepub.com/doi/10.1177/1073191119887449","author":[{"family":"Zanon","given":"Cristian"},{"family":"Brenner","given":"Rachel E."},{"family":"Baptista","given":"Makilim N."},{"family":"Vogel","given":"David L."},{"family":"Rubin","given":"Mark"},{"family":"Al-Darmaki","given":"Fatima R."},{"family":"Gonçalves","given":"Marta"},{"family":"Heath","given":"Patrick J."},{"family":"Liao","given":"Hsin-Ya"},{"family":"Mackenzie","given":"Corey S."},{"family":"Topkaya","given":"Nursel"},{"family":"Wade","given":"Nathaniel G."},{"family":"Zlati","given":"Alina"}],"accessed":{"date-parts":[["2020",5,30]]},"issued":{"date-parts":[["2020",1,9]]}}}],"schema":"https://github.com/citation-style-language/schema/raw/master/csl-citation.json"} </w:instrText>
      </w:r>
      <w:r w:rsidR="00B227D8" w:rsidRPr="006E4B0B">
        <w:rPr>
          <w:szCs w:val="24"/>
        </w:rPr>
        <w:fldChar w:fldCharType="separate"/>
      </w:r>
      <w:r w:rsidR="001B2E49" w:rsidRPr="001B2E49">
        <w:rPr>
          <w:rFonts w:cs="Times New Roman"/>
        </w:rPr>
        <w:t>Zanon et al., 2020)</w:t>
      </w:r>
      <w:r w:rsidR="00B227D8" w:rsidRPr="006E4B0B">
        <w:rPr>
          <w:szCs w:val="24"/>
        </w:rPr>
        <w:fldChar w:fldCharType="end"/>
      </w:r>
      <w:r w:rsidRPr="006E4B0B">
        <w:rPr>
          <w:szCs w:val="24"/>
        </w:rPr>
        <w:t>. Cronbach’s αs for DASS-21 total scores range from .90</w:t>
      </w:r>
      <w:r w:rsidR="00C10F56">
        <w:rPr>
          <w:szCs w:val="24"/>
        </w:rPr>
        <w:t xml:space="preserve"> </w:t>
      </w:r>
      <w:r w:rsidRPr="006E4B0B">
        <w:rPr>
          <w:szCs w:val="24"/>
        </w:rPr>
        <w:t>-</w:t>
      </w:r>
      <w:r w:rsidR="00C10F56">
        <w:rPr>
          <w:szCs w:val="24"/>
        </w:rPr>
        <w:t xml:space="preserve"> </w:t>
      </w:r>
      <w:r w:rsidRPr="006E4B0B">
        <w:rPr>
          <w:szCs w:val="24"/>
        </w:rPr>
        <w:t xml:space="preserve">.94 </w:t>
      </w:r>
      <w:r w:rsidR="0044079A" w:rsidRPr="006E4B0B">
        <w:rPr>
          <w:szCs w:val="24"/>
        </w:rPr>
        <w:fldChar w:fldCharType="begin"/>
      </w:r>
      <w:r w:rsidR="003F2FC6">
        <w:rPr>
          <w:szCs w:val="24"/>
        </w:rPr>
        <w:instrText xml:space="preserve"> ADDIN ZOTERO_ITEM CSL_CITATION {"citationID":"c5xS66ms","properties":{"formattedCitation":"(Crawford et al., 2011)","plainCitation":"(Crawford et al., 2011)","dontUpdate":true,"noteIndex":0},"citationItems":[{"id":446,"uris":["http://zotero.org/users/6223488/items/XGNH98UW"],"uri":["http://zotero.org/users/6223488/items/XGNH98UW"],"itemData":{"id":446,"type":"article-journal","container-title":"Australian Psychologist","DOI":"10.1111/j.1742-9544.2010.00003.x","ISSN":"00050067","issue":"1","language":"en","page":"3-14","source":"DOI.org (Crossref)","title":"Percentile Norms and Accompanying Interval Estimates from an Australian General Adult Population Sample for Self-Report Mood Scales (BAI, BDI, CRSD, CES-D, DASS, DASS-21, STAI-X, STAI-Y, SRDS, and SRAS): Percentile norms for mood scales","title-short":"Percentile Norms and Accompanying Interval Estimates from an Australian General Adult Population Sample for Self-Report Mood Scales (BAI, BDI, CRSD, CES-D, DASS, DASS-21, STAI-X, STAI-Y, SRDS, and SRAS)","URL":"http://doi.wiley.com/10.1111/j.1742-9544.2010.00003.x","volume":"46","author":[{"family":"Crawford","given":"John"},{"family":"Cayley","given":"Carol"},{"family":"Lovibond","given":"Peter F"},{"family":"Wilson","given":"Peter H"},{"family":"Hartley","given":"Caroline"}],"accessed":{"date-parts":[["2020",5,30]]},"issued":{"date-parts":[["2011",3]]}}}],"schema":"https://github.com/citation-style-language/schema/raw/master/csl-citation.json"} </w:instrText>
      </w:r>
      <w:r w:rsidR="0044079A" w:rsidRPr="006E4B0B">
        <w:rPr>
          <w:szCs w:val="24"/>
        </w:rPr>
        <w:fldChar w:fldCharType="separate"/>
      </w:r>
      <w:r w:rsidR="001B2E49" w:rsidRPr="001B2E49">
        <w:rPr>
          <w:rFonts w:cs="Times New Roman"/>
        </w:rPr>
        <w:t>(Crawford et al., 2011</w:t>
      </w:r>
      <w:r w:rsidR="008C4C61">
        <w:rPr>
          <w:rFonts w:cs="Times New Roman"/>
        </w:rPr>
        <w:t xml:space="preserve">; </w:t>
      </w:r>
      <w:r w:rsidR="0044079A" w:rsidRPr="006E4B0B">
        <w:rPr>
          <w:szCs w:val="24"/>
        </w:rPr>
        <w:fldChar w:fldCharType="end"/>
      </w:r>
      <w:r w:rsidR="0044079A" w:rsidRPr="006E4B0B">
        <w:rPr>
          <w:szCs w:val="24"/>
        </w:rPr>
        <w:fldChar w:fldCharType="begin"/>
      </w:r>
      <w:r w:rsidR="003F2FC6">
        <w:rPr>
          <w:szCs w:val="24"/>
        </w:rPr>
        <w:instrText xml:space="preserve"> ADDIN ZOTERO_ITEM CSL_CITATION {"citationID":"PLR2wU7D","properties":{"formattedCitation":"(Scholten et al., 2017)","plainCitation":"(Scholten et al., 2017)","dontUpdate":true,"noteIndex":0},"citationItems":[{"id":394,"uris":["http://zotero.org/users/6223488/items/SPLAGVSW"],"uri":["http://zotero.org/users/6223488/items/SPLAGVSW"],"itemData":{"id":394,"type":"article-journal","container-title":"Psychological Assessment","DOI":"10.1037/pas0000440","ISSN":"1939-134X, 1040-3590","issue":"11","journalAbbreviation":"Psychological Assessment","language":"en","page":"1376-1390","source":"DOI.org (Crossref)","title":"Testing measurement invariance of the Depression, Anxiety, and Stress Scales (DASS-21) across four countries.","URL":"http://doi.apa.org/getdoi.cfm?doi=10.1037/pas0000440","volume":"29","author":[{"family":"Scholten","given":"Saskia"},{"family":"Velten","given":"Julia"},{"family":"Bieda","given":"Angela"},{"family":"Zhang","given":"Xiao Chi"},{"family":"Margraf","given":"Jürgen"}],"accessed":{"date-parts":[["2020",5,16]]},"issued":{"date-parts":[["2017",11]]}}}],"schema":"https://github.com/citation-style-language/schema/raw/master/csl-citation.json"} </w:instrText>
      </w:r>
      <w:r w:rsidR="0044079A" w:rsidRPr="006E4B0B">
        <w:rPr>
          <w:szCs w:val="24"/>
        </w:rPr>
        <w:fldChar w:fldCharType="separate"/>
      </w:r>
      <w:r w:rsidR="001B2E49" w:rsidRPr="001B2E49">
        <w:rPr>
          <w:rFonts w:cs="Times New Roman"/>
        </w:rPr>
        <w:t>Scholten et al., 2017)</w:t>
      </w:r>
      <w:r w:rsidR="0044079A" w:rsidRPr="006E4B0B">
        <w:rPr>
          <w:szCs w:val="24"/>
        </w:rPr>
        <w:fldChar w:fldCharType="end"/>
      </w:r>
      <w:r w:rsidRPr="006E4B0B">
        <w:rPr>
          <w:szCs w:val="24"/>
        </w:rPr>
        <w:t>.</w:t>
      </w:r>
    </w:p>
    <w:p w14:paraId="735C8C03" w14:textId="2BF2E0F4" w:rsidR="001934E3" w:rsidRPr="001934E3" w:rsidRDefault="001934E3" w:rsidP="001934E3">
      <w:pPr>
        <w:rPr>
          <w:szCs w:val="24"/>
        </w:rPr>
      </w:pPr>
      <w:r w:rsidRPr="001934E3">
        <w:rPr>
          <w:szCs w:val="24"/>
        </w:rPr>
        <w:t>In non-clinical populations, DASS-21 total scores and subscale scores are typically at the very low end of the scoring range. DAS</w:t>
      </w:r>
      <w:r w:rsidRPr="00CD1CC5">
        <w:rPr>
          <w:szCs w:val="24"/>
        </w:rPr>
        <w:t>S-21 total scores have been reported between 8.9</w:t>
      </w:r>
      <w:r w:rsidR="00C10F56">
        <w:rPr>
          <w:szCs w:val="24"/>
        </w:rPr>
        <w:t xml:space="preserve"> </w:t>
      </w:r>
      <w:r w:rsidRPr="00CD1CC5">
        <w:rPr>
          <w:szCs w:val="24"/>
        </w:rPr>
        <w:t>-</w:t>
      </w:r>
      <w:r w:rsidR="00C10F56">
        <w:rPr>
          <w:szCs w:val="24"/>
        </w:rPr>
        <w:t xml:space="preserve"> </w:t>
      </w:r>
      <w:r w:rsidRPr="00CD1CC5">
        <w:rPr>
          <w:szCs w:val="24"/>
        </w:rPr>
        <w:t xml:space="preserve">11.51 </w:t>
      </w:r>
      <w:r w:rsidR="00C950B8" w:rsidRPr="00CD1CC5">
        <w:rPr>
          <w:szCs w:val="24"/>
        </w:rPr>
        <w:fldChar w:fldCharType="begin"/>
      </w:r>
      <w:r w:rsidR="003F2FC6">
        <w:rPr>
          <w:szCs w:val="24"/>
        </w:rPr>
        <w:instrText xml:space="preserve"> ADDIN ZOTERO_ITEM CSL_CITATION {"citationID":"t9s4ElRp","properties":{"formattedCitation":"(Crawford et al., 2011)","plainCitation":"(Crawford et al., 2011)","dontUpdate":true,"noteIndex":0},"citationItems":[{"id":446,"uris":["http://zotero.org/users/6223488/items/XGNH98UW"],"uri":["http://zotero.org/users/6223488/items/XGNH98UW"],"itemData":{"id":446,"type":"article-journal","container-title":"Australian Psychologist","DOI":"10.1111/j.1742-9544.2010.00003.x","ISSN":"00050067","issue":"1","language":"en","page":"3-14","source":"DOI.org (Crossref)","title":"Percentile Norms and Accompanying Interval Estimates from an Australian General Adult Population Sample for Self-Report Mood Scales (BAI, BDI, CRSD, CES-D, DASS, DASS-21, STAI-X, STAI-Y, SRDS, and SRAS): Percentile norms for mood scales","title-short":"Percentile Norms and Accompanying Interval Estimates from an Australian General Adult Population Sample for Self-Report Mood Scales (BAI, BDI, CRSD, CES-D, DASS, DASS-21, STAI-X, STAI-Y, SRDS, and SRAS)","URL":"http://doi.wiley.com/10.1111/j.1742-9544.2010.00003.x","volume":"46","author":[{"family":"Crawford","given":"John"},{"family":"Cayley","given":"Carol"},{"family":"Lovibond","given":"Peter F"},{"family":"Wilson","given":"Peter H"},{"family":"Hartley","given":"Caroline"}],"accessed":{"date-parts":[["2020",5,30]]},"issued":{"date-parts":[["2011",3]]}}}],"schema":"https://github.com/citation-style-language/schema/raw/master/csl-citation.json"} </w:instrText>
      </w:r>
      <w:r w:rsidR="00C950B8" w:rsidRPr="00CD1CC5">
        <w:rPr>
          <w:szCs w:val="24"/>
        </w:rPr>
        <w:fldChar w:fldCharType="separate"/>
      </w:r>
      <w:r w:rsidR="001B2E49" w:rsidRPr="001B2E49">
        <w:rPr>
          <w:rFonts w:cs="Times New Roman"/>
        </w:rPr>
        <w:t>(Crawford et al., 2011</w:t>
      </w:r>
      <w:r w:rsidR="00D43130">
        <w:rPr>
          <w:rFonts w:cs="Times New Roman"/>
        </w:rPr>
        <w:t xml:space="preserve">; </w:t>
      </w:r>
      <w:r w:rsidR="00C950B8" w:rsidRPr="00CD1CC5">
        <w:rPr>
          <w:szCs w:val="24"/>
        </w:rPr>
        <w:fldChar w:fldCharType="end"/>
      </w:r>
      <w:r w:rsidR="00C950B8" w:rsidRPr="00CD1CC5">
        <w:rPr>
          <w:szCs w:val="24"/>
        </w:rPr>
        <w:fldChar w:fldCharType="begin"/>
      </w:r>
      <w:r w:rsidR="003F2FC6">
        <w:rPr>
          <w:szCs w:val="24"/>
        </w:rPr>
        <w:instrText xml:space="preserve"> ADDIN ZOTERO_ITEM CSL_CITATION {"citationID":"3NW6ZL3S","properties":{"formattedCitation":"(Sinclair et al., 2012)","plainCitation":"(Sinclair et al., 2012)","dontUpdate":true,"noteIndex":0},"citationItems":[{"id":471,"uris":["http://zotero.org/users/6223488/items/ZTASQL9W"],"uri":["http://zotero.org/users/6223488/items/ZTASQL9W"],"itemData":{"id":471,"type":"article-journal","abstract":"Health care professionals are coming under increased pressure to empirically monitor patient outcomes across settings as a means of improving clinical practice. Within the psychiatric and primary care communities, many have begun utilizing brief psychometric measures of psychological functioning to accomplish these goals. The purpose of this study was to evaluate the psychometric properties and clinical utility of the Depression, Anxiety, and Stress Scales?21-item version (DASS-21), and contribute normative data to facilitate interpretation using a sample of U.S. adults (N = 503). Item-scale convergence was generally supported, although assumptions of item-scale divergence were not met. Only 86%, 50%, and 43% of Depression, Anxiety, and Stress items, respectively, correlated significantly greater with their hypothesized scales than other scales. Internal consistency reliability was acceptable for all scales and comparable to existing research (αs = .91, .80, and .84 for Depression, Anxiety, and Stress, respectively). Scale-level correlations were greater than what has been reported elsewhere (range of rs = .68 to .73), and principal components analysis supported the extraction of only one component accounting for 47% of the item-level variance. However, confirmatory factor analysis (CFA) favored a three-factor structure when compared to a one-factor model. The implications for the health care professions are discussed.","container-title":"Evaluation &amp; the Health Professions","DOI":"10.1177/0163278711424282","ISSN":"0163-2787","issue":"3","journalAbbreviation":"Eval Health Prof","note":"publisher: SAGE Publications Inc","page":"259-279","source":"SAGE Journals","title":"Psychometric Evaluation and Normative Data for the Depression, Anxiety, and Stress Scales-21 (DASS-21) in a Nonclinical Sample of U.S. Adults","URL":"https://doi.org/10.1177/0163278711424282","volume":"35","author":[{"family":"Sinclair","given":"Samuel Justin"},{"family":"Siefert","given":"Caleb J."},{"family":"Slavin-Mulford","given":"Jenelle M."},{"family":"Stein","given":"Michelle B."},{"family":"Renna","given":"Megan"},{"family":"Blais","given":"Mark A."}],"accessed":{"date-parts":[["2020",6,17]]},"issued":{"date-parts":[["2012",9,1]]}}}],"schema":"https://github.com/citation-style-language/schema/raw/master/csl-citation.json"} </w:instrText>
      </w:r>
      <w:r w:rsidR="00C950B8" w:rsidRPr="00CD1CC5">
        <w:rPr>
          <w:szCs w:val="24"/>
        </w:rPr>
        <w:fldChar w:fldCharType="separate"/>
      </w:r>
      <w:r w:rsidR="001B2E49" w:rsidRPr="001B2E49">
        <w:rPr>
          <w:rFonts w:cs="Times New Roman"/>
        </w:rPr>
        <w:t>Sinclair et al., 2012)</w:t>
      </w:r>
      <w:r w:rsidR="00C950B8" w:rsidRPr="00CD1CC5">
        <w:rPr>
          <w:szCs w:val="24"/>
        </w:rPr>
        <w:fldChar w:fldCharType="end"/>
      </w:r>
      <w:r w:rsidRPr="00CD1CC5">
        <w:rPr>
          <w:szCs w:val="24"/>
        </w:rPr>
        <w:t>.</w:t>
      </w:r>
      <w:r w:rsidRPr="001934E3">
        <w:rPr>
          <w:szCs w:val="24"/>
        </w:rPr>
        <w:t xml:space="preserve"> Mean subscale scores have been reported ranging from 1.57</w:t>
      </w:r>
      <w:r w:rsidR="00C10F56">
        <w:rPr>
          <w:szCs w:val="24"/>
        </w:rPr>
        <w:t xml:space="preserve"> </w:t>
      </w:r>
      <w:r w:rsidRPr="001934E3">
        <w:rPr>
          <w:szCs w:val="24"/>
        </w:rPr>
        <w:t>-</w:t>
      </w:r>
      <w:r w:rsidR="00C10F56">
        <w:rPr>
          <w:szCs w:val="24"/>
        </w:rPr>
        <w:t xml:space="preserve"> </w:t>
      </w:r>
      <w:r w:rsidRPr="001934E3">
        <w:rPr>
          <w:szCs w:val="24"/>
        </w:rPr>
        <w:t>5.03 for Depression, 1.44</w:t>
      </w:r>
      <w:r w:rsidR="00C10F56">
        <w:rPr>
          <w:szCs w:val="24"/>
        </w:rPr>
        <w:t xml:space="preserve"> </w:t>
      </w:r>
      <w:r w:rsidRPr="001934E3">
        <w:rPr>
          <w:szCs w:val="24"/>
        </w:rPr>
        <w:t>-</w:t>
      </w:r>
      <w:r w:rsidR="00C10F56">
        <w:rPr>
          <w:szCs w:val="24"/>
        </w:rPr>
        <w:t xml:space="preserve"> </w:t>
      </w:r>
      <w:r w:rsidRPr="001934E3">
        <w:rPr>
          <w:szCs w:val="24"/>
        </w:rPr>
        <w:t>4.51 for Anxiety, and 1</w:t>
      </w:r>
      <w:r w:rsidRPr="007609EF">
        <w:rPr>
          <w:szCs w:val="24"/>
        </w:rPr>
        <w:t>.79</w:t>
      </w:r>
      <w:r w:rsidR="00C10F56">
        <w:rPr>
          <w:szCs w:val="24"/>
        </w:rPr>
        <w:t xml:space="preserve"> </w:t>
      </w:r>
      <w:r w:rsidRPr="007609EF">
        <w:rPr>
          <w:szCs w:val="24"/>
        </w:rPr>
        <w:t>-</w:t>
      </w:r>
      <w:r w:rsidR="00C10F56">
        <w:rPr>
          <w:szCs w:val="24"/>
        </w:rPr>
        <w:t xml:space="preserve"> </w:t>
      </w:r>
      <w:r w:rsidRPr="007609EF">
        <w:rPr>
          <w:szCs w:val="24"/>
        </w:rPr>
        <w:t xml:space="preserve">7.27 for Stress </w:t>
      </w:r>
      <w:r w:rsidR="00D65FCD" w:rsidRPr="007609EF">
        <w:rPr>
          <w:szCs w:val="24"/>
        </w:rPr>
        <w:fldChar w:fldCharType="begin"/>
      </w:r>
      <w:r w:rsidR="003F2FC6">
        <w:rPr>
          <w:szCs w:val="24"/>
        </w:rPr>
        <w:instrText xml:space="preserve"> ADDIN ZOTERO_ITEM CSL_CITATION {"citationID":"rxF2j5vV","properties":{"formattedCitation":"(Lee, 2019)","plainCitation":"(Lee, 2019)","dontUpdate":true,"noteIndex":0},"citationItems":[{"id":466,"uris":["http://zotero.org/users/6223488/items/G93FGA2V"],"uri":["http://zotero.org/users/6223488/items/G93FGA2V"],"itemData":{"id":466,"type":"article-journal","abstract":"Background: Previous validity studies of Depression Anxiety Stress Scales-21 (DASS-21) through confirmatory factor analysis (CFA) were limited by yielding poor factor loading values and eventually skipping the critical process addressing convergent, discriminant, and nomological validity. Without the crucial process, it was risky that past studies insisted DASS-21 be ready for use. Therefore, the current study examined DASS-21 regarding the three kinds of validity to determine if DASS-21 can be further used in the future.\nMethods: The current study formulated a CFA model (i.e., modified one-factor model) of DASS-21, which yielded factor loading values over β = 0.70 and estimated a latent variable of Psychological Distress by employing indicators of Depression, Anxiety, and Stress. The data collection was conducted at two universities in the U.S. and South Korea in November 2016 (N = 255). The study participants completed an online survey developed with DASS-21. With the collected data, the present study investigated the convergent, discriminant, and nomological validity of the modified one-factor model of DASS-21 through CFA.\nResults: The model fit of the modified one-factor model was complete as saturated. The convergent validity coefficient of Psychological Distress was 0.87, and average variance extracted of the variable was 0.68. The three correlations among the measured variables (i.e., indicators) were 0.50 &lt; r &lt; 0.75. Limitations: Application of the current study's findings to youth or older adults can be limited as the subjects were young adults.\nConclusions: The current study made substantial evidence regarding the convergent, discriminant, and nomological validity of DASS-21 through CFA.","container-title":"Journal of Affective Disorders","DOI":"10.1016/j.jad.2019.06.036","ISSN":"01650327","journalAbbreviation":"Journal of Affective Disorders","language":"en","page":"136-142","source":"DOI.org (Crossref)","title":"The convergent, discriminant, and nomological validity of the Depression Anxiety Stress Scales-21 (DASS-21)","URL":"https://linkinghub.elsevier.com/retrieve/pii/S0165032718332506","volume":"259","author":[{"family":"Lee","given":"Dohyun"}],"accessed":{"date-parts":[["2020",5,31]]},"issued":{"date-parts":[["2019",12]]}}}],"schema":"https://github.com/citation-style-language/schema/raw/master/csl-citation.json"} </w:instrText>
      </w:r>
      <w:r w:rsidR="00D65FCD" w:rsidRPr="007609EF">
        <w:rPr>
          <w:szCs w:val="24"/>
        </w:rPr>
        <w:fldChar w:fldCharType="separate"/>
      </w:r>
      <w:r w:rsidR="001B2E49" w:rsidRPr="001B2E49">
        <w:rPr>
          <w:rFonts w:cs="Times New Roman"/>
        </w:rPr>
        <w:t>(Lee, 2019</w:t>
      </w:r>
      <w:r w:rsidR="00D43130">
        <w:rPr>
          <w:rFonts w:cs="Times New Roman"/>
        </w:rPr>
        <w:t>;</w:t>
      </w:r>
      <w:r w:rsidR="00D65FCD" w:rsidRPr="007609EF">
        <w:rPr>
          <w:szCs w:val="24"/>
        </w:rPr>
        <w:fldChar w:fldCharType="end"/>
      </w:r>
      <w:r w:rsidR="00D65FCD" w:rsidRPr="007609EF">
        <w:rPr>
          <w:szCs w:val="24"/>
        </w:rPr>
        <w:fldChar w:fldCharType="begin"/>
      </w:r>
      <w:r w:rsidR="003F2FC6">
        <w:rPr>
          <w:szCs w:val="24"/>
        </w:rPr>
        <w:instrText xml:space="preserve"> ADDIN ZOTERO_ITEM CSL_CITATION {"citationID":"BcW0eTxy","properties":{"formattedCitation":"(Praharso et al., 2017)","plainCitation":"(Praharso et al., 2017)","dontUpdate":true,"noteIndex":0},"citationItems":[{"id":137,"uris":["http://zotero.org/users/6223488/items/EY6YPQVX"],"uri":["http://zotero.org/users/6223488/items/EY6YPQVX"],"itemData":{"id":137,"type":"article-journal","abstract":"The relationship between stressful life transitions and wellbeing is well established, however, the protective role of social connectedness has received mixed support. We test two theoretical models, the Stress Buffering Hypothesis and the Social Identity Model of Identity Change, to determine which best explains the relationship between social connectedness, stress, and wellbeing. Study 1 (N=165) was an experiment in which participants considered the impact of moving cities versus receiving a serious health diagnosis. Study 2 (N=79) was a longitudinal study that examined the adjustment of international students to university over the course of their first semester. Both studies found limited evidence for the buffering role of social support as predicted by the Stress Buffering Hypothesis; instead people who experienced a loss of social identities as a result of a stressor had subsequent decline in wellbeing, consistent with the Social Identity Model of Identity Change. We conclude that stressful life events are best conceptualized as identity transitions. Such events are more likely to be perceived as stressful and compromise wellbeing when they entail identity loss.","container-title":"Psychiatry Research","DOI":"10.1016/j.psychres.2016.11.039","ISSN":"01651781","journalAbbreviation":"Psychiatry Research","language":"en","page":"265-275","source":"DOI.org (Crossref)","title":"Stressful life transitions and wellbeing: A comparison of the stress buffering hypothesis and the social identity model of identity change","title-short":"Stressful life transitions and wellbeing","URL":"https://linkinghub.elsevier.com/retrieve/pii/S0165178116309799","volume":"247","author":[{"family":"Praharso","given":"Nurul F."},{"family":"Tear","given":"Morgan J."},{"family":"Cruwys","given":"Tegan"}],"accessed":{"date-parts":[["2020",1,12]]},"issued":{"date-parts":[["2017",1]]}}}],"schema":"https://github.com/citation-style-language/schema/raw/master/csl-citation.json"} </w:instrText>
      </w:r>
      <w:r w:rsidR="00D65FCD" w:rsidRPr="007609EF">
        <w:rPr>
          <w:szCs w:val="24"/>
        </w:rPr>
        <w:fldChar w:fldCharType="separate"/>
      </w:r>
      <w:r w:rsidR="00D43130">
        <w:rPr>
          <w:rFonts w:cs="Times New Roman"/>
        </w:rPr>
        <w:t xml:space="preserve"> </w:t>
      </w:r>
      <w:r w:rsidR="001B2E49" w:rsidRPr="001B2E49">
        <w:rPr>
          <w:rFonts w:cs="Times New Roman"/>
        </w:rPr>
        <w:t>Praharso et al., 2017</w:t>
      </w:r>
      <w:r w:rsidR="00D65FCD" w:rsidRPr="007609EF">
        <w:rPr>
          <w:szCs w:val="24"/>
        </w:rPr>
        <w:fldChar w:fldCharType="end"/>
      </w:r>
      <w:r w:rsidR="00D43130">
        <w:rPr>
          <w:szCs w:val="24"/>
        </w:rPr>
        <w:t>;</w:t>
      </w:r>
      <w:r w:rsidR="00CD1CC5" w:rsidRPr="007609EF">
        <w:rPr>
          <w:szCs w:val="24"/>
        </w:rPr>
        <w:t xml:space="preserve"> </w:t>
      </w:r>
      <w:r w:rsidR="00575D15" w:rsidRPr="007609EF">
        <w:rPr>
          <w:szCs w:val="24"/>
        </w:rPr>
        <w:fldChar w:fldCharType="begin"/>
      </w:r>
      <w:r w:rsidR="003F2FC6">
        <w:rPr>
          <w:szCs w:val="24"/>
        </w:rPr>
        <w:instrText xml:space="preserve"> ADDIN ZOTERO_ITEM CSL_CITATION {"citationID":"t4nsOzEk","properties":{"formattedCitation":"(Sinclair et al., 2012)","plainCitation":"(Sinclair et al., 2012)","dontUpdate":true,"noteIndex":0},"citationItems":[{"id":471,"uris":["http://zotero.org/users/6223488/items/ZTASQL9W"],"uri":["http://zotero.org/users/6223488/items/ZTASQL9W"],"itemData":{"id":471,"type":"article-journal","abstract":"Health care professionals are coming under increased pressure to empirically monitor patient outcomes across settings as a means of improving clinical practice. Within the psychiatric and primary care communities, many have begun utilizing brief psychometric measures of psychological functioning to accomplish these goals. The purpose of this study was to evaluate the psychometric properties and clinical utility of the Depression, Anxiety, and Stress Scales?21-item version (DASS-21), and contribute normative data to facilitate interpretation using a sample of U.S. adults (N = 503). Item-scale convergence was generally supported, although assumptions of item-scale divergence were not met. Only 86%, 50%, and 43% of Depression, Anxiety, and Stress items, respectively, correlated significantly greater with their hypothesized scales than other scales. Internal consistency reliability was acceptable for all scales and comparable to existing research (αs = .91, .80, and .84 for Depression, Anxiety, and Stress, respectively). Scale-level correlations were greater than what has been reported elsewhere (range of rs = .68 to .73), and principal components analysis supported the extraction of only one component accounting for 47% of the item-level variance. However, confirmatory factor analysis (CFA) favored a three-factor structure when compared to a one-factor model. The implications for the health care professions are discussed.","container-title":"Evaluation &amp; the Health Professions","DOI":"10.1177/0163278711424282","ISSN":"0163-2787","issue":"3","journalAbbreviation":"Eval Health Prof","note":"publisher: SAGE Publications Inc","page":"259-279","source":"SAGE Journals","title":"Psychometric Evaluation and Normative Data for the Depression, Anxiety, and Stress Scales-21 (DASS-21) in a Nonclinical Sample of U.S. Adults","URL":"https://doi.org/10.1177/0163278711424282","volume":"35","author":[{"family":"Sinclair","given":"Samuel Justin"},{"family":"Siefert","given":"Caleb J."},{"family":"Slavin-Mulford","given":"Jenelle M."},{"family":"Stein","given":"Michelle B."},{"family":"Renna","given":"Megan"},{"family":"Blais","given":"Mark A."}],"accessed":{"date-parts":[["2020",6,17]]},"issued":{"date-parts":[["2012",9,1]]}}}],"schema":"https://github.com/citation-style-language/schema/raw/master/csl-citation.json"} </w:instrText>
      </w:r>
      <w:r w:rsidR="00575D15" w:rsidRPr="007609EF">
        <w:rPr>
          <w:szCs w:val="24"/>
        </w:rPr>
        <w:fldChar w:fldCharType="separate"/>
      </w:r>
      <w:r w:rsidR="001B2E49" w:rsidRPr="001B2E49">
        <w:rPr>
          <w:rFonts w:cs="Times New Roman"/>
        </w:rPr>
        <w:t>Sinclair et al., 2012</w:t>
      </w:r>
      <w:r w:rsidR="00D43130">
        <w:rPr>
          <w:rFonts w:cs="Times New Roman"/>
        </w:rPr>
        <w:t xml:space="preserve">; </w:t>
      </w:r>
      <w:r w:rsidR="00575D15" w:rsidRPr="007609EF">
        <w:rPr>
          <w:szCs w:val="24"/>
        </w:rPr>
        <w:fldChar w:fldCharType="end"/>
      </w:r>
      <w:r w:rsidR="00575D15" w:rsidRPr="007609EF">
        <w:rPr>
          <w:szCs w:val="24"/>
        </w:rPr>
        <w:fldChar w:fldCharType="begin"/>
      </w:r>
      <w:r w:rsidR="003F2FC6">
        <w:rPr>
          <w:szCs w:val="24"/>
        </w:rPr>
        <w:instrText xml:space="preserve"> ADDIN ZOTERO_ITEM CSL_CITATION {"citationID":"rmrEToFx","properties":{"formattedCitation":"(Zanon et al., 2020)","plainCitation":"(Zanon et al., 2020)","dontUpdate":true,"noteIndex":0},"citationItems":[{"id":453,"uris":["http://zotero.org/users/6223488/items/YJNDIXRW"],"uri":["http://zotero.org/users/6223488/items/YJNDIXRW"],"itemData":{"id":453,"type":"article-journal","abstract":"This study evaluated the dimensionality, invariance, and reliability of the Depression, Anxiety, and Stress Scale–21 (DASS21) within and across Brazil, Canada, Hong Kong, Romania, Taiwan, Turkey, United Arab Emirates, and the United States (N = 2,580) in college student samples. We used confirmatory factor analyses to compare the fit of four different factor structures of the DASS-21: a unidimensional model, a three-correlated-factors model, a higher order model, and a bifactor model. The bifactor model, with three specific factors (depression, anxiety, and stress) and one general factor (general distress), presented the best fit within each country. We also calculated ancillary bifactor indices of model-based dimensionality of the DASS-21 and model-based reliability to further examine the validity of the composite total and subscale scores and the use of unidimensional modeling. Results suggested the DASS-21 can be used as a unidimensional scale. Finally, measurement invariance of the best fitting model was tested across countries indicating configural invariance. The traditional three-correlated-factors model presented scalar invariance across Canada, Hong Kong, Romania, Taiwan, and the United States. Overall, these analyses indicate that the DASS-21 would best be used as a general score of distress rather than three separate factors of depression, anxiety, and stress, in the countries studied.","container-title":"Assessment","DOI":"10.1177/1073191119887449","ISSN":"1073-1911, 1552-3489","journalAbbreviation":"Assessment","language":"en","page":"107319111988744","source":"DOI.org (Crossref)","title":"Examining the Dimensionality, Reliability, and Invariance of the Depression, Anxiety, and Stress Scale–21 (DASS-21) Across Eight Countries","URL":"http://journals.sagepub.com/doi/10.1177/1073191119887449","author":[{"family":"Zanon","given":"Cristian"},{"family":"Brenner","given":"Rachel E."},{"family":"Baptista","given":"Makilim N."},{"family":"Vogel","given":"David L."},{"family":"Rubin","given":"Mark"},{"family":"Al-Darmaki","given":"Fatima R."},{"family":"Gonçalves","given":"Marta"},{"family":"Heath","given":"Patrick J."},{"family":"Liao","given":"Hsin-Ya"},{"family":"Mackenzie","given":"Corey S."},{"family":"Topkaya","given":"Nursel"},{"family":"Wade","given":"Nathaniel G."},{"family":"Zlati","given":"Alina"}],"accessed":{"date-parts":[["2020",5,30]]},"issued":{"date-parts":[["2020",1,9]]}}}],"schema":"https://github.com/citation-style-language/schema/raw/master/csl-citation.json"} </w:instrText>
      </w:r>
      <w:r w:rsidR="00575D15" w:rsidRPr="007609EF">
        <w:rPr>
          <w:szCs w:val="24"/>
        </w:rPr>
        <w:fldChar w:fldCharType="separate"/>
      </w:r>
      <w:r w:rsidR="001B2E49" w:rsidRPr="001B2E49">
        <w:rPr>
          <w:rFonts w:cs="Times New Roman"/>
        </w:rPr>
        <w:t>Zanon et al., 2020)</w:t>
      </w:r>
      <w:r w:rsidR="00575D15" w:rsidRPr="007609EF">
        <w:rPr>
          <w:szCs w:val="24"/>
        </w:rPr>
        <w:fldChar w:fldCharType="end"/>
      </w:r>
      <w:r w:rsidRPr="007609EF">
        <w:rPr>
          <w:szCs w:val="24"/>
        </w:rPr>
        <w:t>.</w:t>
      </w:r>
    </w:p>
    <w:p w14:paraId="40743F55" w14:textId="05CEABC6" w:rsidR="001934E3" w:rsidRPr="001934E3" w:rsidRDefault="001934E3" w:rsidP="006D403A">
      <w:pPr>
        <w:pStyle w:val="Heading3"/>
      </w:pPr>
      <w:r w:rsidRPr="001934E3">
        <w:t xml:space="preserve">Personal Wellbeing </w:t>
      </w:r>
      <w:r w:rsidR="00A706DF">
        <w:t xml:space="preserve">Index </w:t>
      </w:r>
      <w:r w:rsidRPr="001934E3">
        <w:t>-</w:t>
      </w:r>
      <w:r w:rsidR="00A706DF">
        <w:t xml:space="preserve"> </w:t>
      </w:r>
      <w:r w:rsidRPr="001934E3">
        <w:t>Adult</w:t>
      </w:r>
    </w:p>
    <w:p w14:paraId="46AE7D9D" w14:textId="4A3B0401" w:rsidR="001934E3" w:rsidRPr="001934E3" w:rsidRDefault="001934E3" w:rsidP="001934E3">
      <w:pPr>
        <w:rPr>
          <w:szCs w:val="24"/>
        </w:rPr>
      </w:pPr>
      <w:r w:rsidRPr="00E34138">
        <w:rPr>
          <w:szCs w:val="24"/>
        </w:rPr>
        <w:t xml:space="preserve">The Personal Wellbeing Index-Adult (PWI-A; </w:t>
      </w:r>
      <w:r w:rsidR="00C176FF" w:rsidRPr="00E34138">
        <w:rPr>
          <w:szCs w:val="24"/>
        </w:rPr>
        <w:fldChar w:fldCharType="begin"/>
      </w:r>
      <w:r w:rsidR="003F2FC6">
        <w:rPr>
          <w:szCs w:val="24"/>
        </w:rPr>
        <w:instrText xml:space="preserve"> ADDIN ZOTERO_ITEM CSL_CITATION {"citationID":"OenWY4L5","properties":{"formattedCitation":"(International Wellbeing Group, 2013)","plainCitation":"(International Wellbeing Group, 2013)","dontUpdate":true,"noteIndex":0},"citationItems":[{"id":564,"uris":["http://zotero.org/users/6223488/items/53DSUCGX"],"uri":["http://zotero.org/users/6223488/items/53DSUCGX"],"itemData":{"id":564,"type":"article","language":"English","publisher":"Australian Centre on Quality of Life, Deakin University","title":"Personal Wellbeing Index, 5th ed.","URL":"http://www.acqol.com.au/instruments#measures","author":[{"family":"International Wellbeing Group","given":""}],"issued":{"date-parts":[["2013"]]}}}],"schema":"https://github.com/citation-style-language/schema/raw/master/csl-citation.json"} </w:instrText>
      </w:r>
      <w:r w:rsidR="00C176FF" w:rsidRPr="00E34138">
        <w:rPr>
          <w:szCs w:val="24"/>
        </w:rPr>
        <w:fldChar w:fldCharType="separate"/>
      </w:r>
      <w:r w:rsidR="001B2E49" w:rsidRPr="001B2E49">
        <w:rPr>
          <w:rFonts w:cs="Times New Roman"/>
        </w:rPr>
        <w:t>International Wellbeing Group, 2013)</w:t>
      </w:r>
      <w:r w:rsidR="00C176FF" w:rsidRPr="00E34138">
        <w:rPr>
          <w:szCs w:val="24"/>
        </w:rPr>
        <w:fldChar w:fldCharType="end"/>
      </w:r>
      <w:r w:rsidRPr="00E34138">
        <w:rPr>
          <w:szCs w:val="24"/>
        </w:rPr>
        <w:t xml:space="preserve"> is a 7-item measure of satisfaction with various domains of life including Standard of Living, Pers</w:t>
      </w:r>
      <w:r w:rsidRPr="001934E3">
        <w:rPr>
          <w:szCs w:val="24"/>
        </w:rPr>
        <w:t xml:space="preserve">onal Health, Achieving in Life, Personal relationships, Personal Safety, Community-Connectedness, and Future Security. Participants respond to statements on an 11-point Likert scale where </w:t>
      </w:r>
      <w:r w:rsidRPr="003E0E7E">
        <w:rPr>
          <w:i/>
          <w:iCs/>
          <w:szCs w:val="24"/>
        </w:rPr>
        <w:t>0</w:t>
      </w:r>
      <w:r w:rsidR="000C4DD2" w:rsidRPr="003E0E7E">
        <w:rPr>
          <w:i/>
          <w:iCs/>
          <w:szCs w:val="24"/>
        </w:rPr>
        <w:t xml:space="preserve"> </w:t>
      </w:r>
      <w:r w:rsidRPr="003E0E7E">
        <w:rPr>
          <w:i/>
          <w:iCs/>
          <w:szCs w:val="24"/>
        </w:rPr>
        <w:t>=</w:t>
      </w:r>
      <w:r w:rsidR="000C4DD2" w:rsidRPr="003E0E7E">
        <w:rPr>
          <w:i/>
          <w:iCs/>
          <w:szCs w:val="24"/>
        </w:rPr>
        <w:t xml:space="preserve"> </w:t>
      </w:r>
      <w:r w:rsidRPr="003E0E7E">
        <w:rPr>
          <w:i/>
          <w:iCs/>
          <w:szCs w:val="24"/>
        </w:rPr>
        <w:t>No satisfaction at all</w:t>
      </w:r>
      <w:r w:rsidRPr="001934E3">
        <w:rPr>
          <w:szCs w:val="24"/>
        </w:rPr>
        <w:t xml:space="preserve"> and </w:t>
      </w:r>
      <w:r w:rsidRPr="003E0E7E">
        <w:rPr>
          <w:i/>
          <w:iCs/>
          <w:szCs w:val="24"/>
        </w:rPr>
        <w:t>10</w:t>
      </w:r>
      <w:r w:rsidR="000C4DD2" w:rsidRPr="003E0E7E">
        <w:rPr>
          <w:i/>
          <w:iCs/>
          <w:szCs w:val="24"/>
        </w:rPr>
        <w:t xml:space="preserve"> </w:t>
      </w:r>
      <w:r w:rsidRPr="003E0E7E">
        <w:rPr>
          <w:i/>
          <w:iCs/>
          <w:szCs w:val="24"/>
        </w:rPr>
        <w:t>=</w:t>
      </w:r>
      <w:r w:rsidR="000C4DD2" w:rsidRPr="003E0E7E">
        <w:rPr>
          <w:i/>
          <w:iCs/>
          <w:szCs w:val="24"/>
        </w:rPr>
        <w:t xml:space="preserve"> </w:t>
      </w:r>
      <w:r w:rsidRPr="003E0E7E">
        <w:rPr>
          <w:i/>
          <w:iCs/>
          <w:szCs w:val="24"/>
        </w:rPr>
        <w:t>Completely satisfied</w:t>
      </w:r>
      <w:r w:rsidRPr="001934E3">
        <w:rPr>
          <w:szCs w:val="24"/>
        </w:rPr>
        <w:t>. Scores for all seven items are multiplied by 10, summed, then averaged to create a Subjective Wellbeing score ranging from 10</w:t>
      </w:r>
      <w:r w:rsidR="00C10F56">
        <w:rPr>
          <w:szCs w:val="24"/>
        </w:rPr>
        <w:t xml:space="preserve"> </w:t>
      </w:r>
      <w:r w:rsidRPr="001934E3">
        <w:rPr>
          <w:szCs w:val="24"/>
        </w:rPr>
        <w:t>-</w:t>
      </w:r>
      <w:r w:rsidR="00C10F56">
        <w:rPr>
          <w:szCs w:val="24"/>
        </w:rPr>
        <w:t xml:space="preserve"> </w:t>
      </w:r>
      <w:r w:rsidRPr="001934E3">
        <w:rPr>
          <w:szCs w:val="24"/>
        </w:rPr>
        <w:t>100.</w:t>
      </w:r>
    </w:p>
    <w:p w14:paraId="2F15D2CB" w14:textId="3E1F3C7A" w:rsidR="001934E3" w:rsidRPr="001934E3" w:rsidRDefault="001934E3" w:rsidP="001934E3">
      <w:pPr>
        <w:rPr>
          <w:szCs w:val="24"/>
        </w:rPr>
      </w:pPr>
      <w:r w:rsidRPr="001934E3">
        <w:rPr>
          <w:szCs w:val="24"/>
        </w:rPr>
        <w:t xml:space="preserve">The PWI-A demonstrates good to excellent internal consistency with Cronbach’s αs reported </w:t>
      </w:r>
      <w:r w:rsidRPr="00317CDC">
        <w:rPr>
          <w:szCs w:val="24"/>
        </w:rPr>
        <w:t>between .70</w:t>
      </w:r>
      <w:r w:rsidR="00C10F56">
        <w:rPr>
          <w:szCs w:val="24"/>
        </w:rPr>
        <w:t xml:space="preserve"> </w:t>
      </w:r>
      <w:r w:rsidRPr="00317CDC">
        <w:rPr>
          <w:szCs w:val="24"/>
        </w:rPr>
        <w:t>-</w:t>
      </w:r>
      <w:r w:rsidR="00C10F56">
        <w:rPr>
          <w:szCs w:val="24"/>
        </w:rPr>
        <w:t xml:space="preserve"> </w:t>
      </w:r>
      <w:r w:rsidRPr="00317CDC">
        <w:rPr>
          <w:szCs w:val="24"/>
        </w:rPr>
        <w:t xml:space="preserve">.91 in Australian </w:t>
      </w:r>
      <w:r w:rsidR="00591BC2">
        <w:rPr>
          <w:szCs w:val="24"/>
        </w:rPr>
        <w:t>sample</w:t>
      </w:r>
      <w:r w:rsidRPr="00317CDC">
        <w:rPr>
          <w:szCs w:val="24"/>
        </w:rPr>
        <w:t xml:space="preserve">s </w:t>
      </w:r>
      <w:r w:rsidR="00726633" w:rsidRPr="00317CDC">
        <w:rPr>
          <w:szCs w:val="24"/>
        </w:rPr>
        <w:fldChar w:fldCharType="begin"/>
      </w:r>
      <w:r w:rsidR="003F2FC6">
        <w:rPr>
          <w:szCs w:val="24"/>
        </w:rPr>
        <w:instrText xml:space="preserve"> ADDIN ZOTERO_ITEM CSL_CITATION {"citationID":"JXcEdTyR","properties":{"formattedCitation":"(Hutton et al., 2013)","plainCitation":"(Hutton et al., 2013)","dontUpdate":true,"noteIndex":0},"citationItems":[{"id":560,"uris":["http://zotero.org/users/6223488/items/WKHDE398"],"uri":["http://zotero.org/users/6223488/items/WKHDE398"],"itemData":{"id":560,"type":"article-journal","abstract":"Purpose The impact of stigma on subjective wellbeing was explored in adults living with HIV in Australia and the USA. It was hypothesised that this population would report poorer subjective wellbeing than the general population and that ‘felt’ stigma would contribute signiﬁcantly to reported levels of subjective wellbeing.\nMethods A total of 274 participants were recruited through Australian AIDS councils and HIV-speciﬁc online support groups. Participants completed a composite questionnaire comprising the personal wellbeing index—adult (PWI-A), the HIV version of the unsupportive social interactions inventory (USII) and demographic and healthrelated items. The PWI-A total score was used to form a personal wellbeing index, ranging from 0 to 100.\nResults Participants reported mean PWI-A total scores of 54.7, considerably below the normative range of 70–80 for Western populations. There was a strong negative correlation between PWI-A total scores and USII total scores with the experience of high levels of unsupportive social interactions being associated with reduced levels of subjective wellbeing.\nConclusions Our study suggests that despite antidiscrimination legislation, ‘felt’ stigma in the form of unsupportive social interactions continues to exert a negative impact on subjective wellbeing. Reduced subjective wellbeing may increase the risk of adverse health","container-title":"Quality of Life Research","DOI":"10.1007/s11136-012-0125-7","ISSN":"0962-9343, 1573-2649","issue":"1","journalAbbreviation":"Qual Life Res","language":"en","page":"65-73","source":"DOI.org (Crossref)","title":"Subjective wellbeing and ‘felt’ stigma when living with HIV","URL":"http://link.springer.com/10.1007/s11136-012-0125-7","volume":"22","author":[{"family":"Hutton","given":"Vicki E."},{"family":"Misajon","given":"RoseAnne"},{"family":"Collins","given":"Francesca E."}],"accessed":{"date-parts":[["2020",6,29]]},"issued":{"date-parts":[["2013",2]]}}}],"schema":"https://github.com/citation-style-language/schema/raw/master/csl-citation.json"} </w:instrText>
      </w:r>
      <w:r w:rsidR="00726633" w:rsidRPr="00317CDC">
        <w:rPr>
          <w:szCs w:val="24"/>
        </w:rPr>
        <w:fldChar w:fldCharType="separate"/>
      </w:r>
      <w:r w:rsidR="001B2E49" w:rsidRPr="001B2E49">
        <w:rPr>
          <w:rFonts w:cs="Times New Roman"/>
        </w:rPr>
        <w:t>(Hutton et al., 2013</w:t>
      </w:r>
      <w:r w:rsidR="00740178">
        <w:rPr>
          <w:rFonts w:cs="Times New Roman"/>
        </w:rPr>
        <w:t>;</w:t>
      </w:r>
      <w:r w:rsidR="00726633" w:rsidRPr="00317CDC">
        <w:rPr>
          <w:szCs w:val="24"/>
        </w:rPr>
        <w:fldChar w:fldCharType="end"/>
      </w:r>
      <w:r w:rsidR="00726633" w:rsidRPr="00317CDC">
        <w:rPr>
          <w:szCs w:val="24"/>
        </w:rPr>
        <w:fldChar w:fldCharType="begin"/>
      </w:r>
      <w:r w:rsidR="003F2FC6">
        <w:rPr>
          <w:szCs w:val="24"/>
        </w:rPr>
        <w:instrText xml:space="preserve"> ADDIN ZOTERO_ITEM CSL_CITATION {"citationID":"0FfTJl3d","properties":{"formattedCitation":"(International Wellbeing Group, 2013)","plainCitation":"(International Wellbeing Group, 2013)","dontUpdate":true,"noteIndex":0},"citationItems":[{"id":564,"uris":["http://zotero.org/users/6223488/items/53DSUCGX"],"uri":["http://zotero.org/users/6223488/items/53DSUCGX"],"itemData":{"id":564,"type":"article","language":"English","publisher":"Australian Centre on Quality of Life, Deakin University","title":"Personal Wellbeing Index, 5th ed.","URL":"http://www.acqol.com.au/instruments#measures","author":[{"family":"International Wellbeing Group","given":""}],"issued":{"date-parts":[["2013"]]}}}],"schema":"https://github.com/citation-style-language/schema/raw/master/csl-citation.json"} </w:instrText>
      </w:r>
      <w:r w:rsidR="00726633" w:rsidRPr="00317CDC">
        <w:rPr>
          <w:szCs w:val="24"/>
        </w:rPr>
        <w:fldChar w:fldCharType="separate"/>
      </w:r>
      <w:r w:rsidR="00740178">
        <w:rPr>
          <w:rFonts w:cs="Times New Roman"/>
        </w:rPr>
        <w:t xml:space="preserve"> </w:t>
      </w:r>
      <w:r w:rsidR="001B2E49" w:rsidRPr="001B2E49">
        <w:rPr>
          <w:rFonts w:cs="Times New Roman"/>
        </w:rPr>
        <w:t>International Wellbeing Group, 2013</w:t>
      </w:r>
      <w:r w:rsidR="00740178">
        <w:rPr>
          <w:rFonts w:cs="Times New Roman"/>
        </w:rPr>
        <w:t>;</w:t>
      </w:r>
      <w:r w:rsidR="00726633" w:rsidRPr="00317CDC">
        <w:rPr>
          <w:szCs w:val="24"/>
        </w:rPr>
        <w:fldChar w:fldCharType="end"/>
      </w:r>
      <w:r w:rsidR="00DD1F48" w:rsidRPr="00317CDC">
        <w:rPr>
          <w:szCs w:val="24"/>
        </w:rPr>
        <w:fldChar w:fldCharType="begin"/>
      </w:r>
      <w:r w:rsidR="003F2FC6">
        <w:rPr>
          <w:szCs w:val="24"/>
        </w:rPr>
        <w:instrText xml:space="preserve"> ADDIN ZOTERO_ITEM CSL_CITATION {"citationID":"yA2tgW2F","properties":{"formattedCitation":"(Jovanovi\\uc0\\u263{} et al., 2019)","plainCitation":"(Jovanović et al., 2019)","dontUpdate":true,"noteIndex":0},"citationItems":[{"id":557,"uris":["http://zotero.org/users/6223488/items/HV9DEUSS"],"uri":["http://zotero.org/users/6223488/items/HV9DEUSS"],"itemData":{"id":557,"type":"article-journal","container-title":"Journal of Happiness Studies","DOI":"10.1007/s10902-018-9966-2","ISSN":"1389-4978, 1573-7780","issue":"3","journalAbbreviation":"J Happiness Stud","language":"en","page":"759-775","source":"DOI.org (Crossref)","title":"Personal Wellbeing Index: A Cross-Cultural Measurement Invariance Study Across Four Countries","title-short":"Personal Wellbeing Index","URL":"http://link.springer.com/10.1007/s10902-018-9966-2","volume":"20","author":[{"family":"Jovanović","given":"Veljko"},{"family":"Cummins","given":"Robert A."},{"family":"Weinberg","given":"Melissa"},{"family":"Kaliterna","given":"Ljiljana"},{"family":"Prizmic-Larsen","given":"Zvjezdana"}],"accessed":{"date-parts":[["2020",6,29]]},"issued":{"date-parts":[["2019",3]]}}}],"schema":"https://github.com/citation-style-language/schema/raw/master/csl-citation.json"} </w:instrText>
      </w:r>
      <w:r w:rsidR="00DD1F48" w:rsidRPr="00317CDC">
        <w:rPr>
          <w:szCs w:val="24"/>
        </w:rPr>
        <w:fldChar w:fldCharType="separate"/>
      </w:r>
      <w:r w:rsidR="00740178">
        <w:rPr>
          <w:rFonts w:cs="Times New Roman"/>
          <w:szCs w:val="24"/>
        </w:rPr>
        <w:t xml:space="preserve"> </w:t>
      </w:r>
      <w:r w:rsidR="001B2E49" w:rsidRPr="001B2E49">
        <w:rPr>
          <w:rFonts w:cs="Times New Roman"/>
          <w:szCs w:val="24"/>
        </w:rPr>
        <w:t>Jovanović et al., 2019)</w:t>
      </w:r>
      <w:r w:rsidR="00DD1F48" w:rsidRPr="00317CDC">
        <w:rPr>
          <w:szCs w:val="24"/>
        </w:rPr>
        <w:fldChar w:fldCharType="end"/>
      </w:r>
      <w:r w:rsidRPr="00317CDC">
        <w:rPr>
          <w:szCs w:val="24"/>
        </w:rPr>
        <w:t>.</w:t>
      </w:r>
    </w:p>
    <w:p w14:paraId="3291733F" w14:textId="39C38188" w:rsidR="001934E3" w:rsidRPr="00DE371F" w:rsidRDefault="001934E3" w:rsidP="001934E3">
      <w:pPr>
        <w:rPr>
          <w:szCs w:val="24"/>
        </w:rPr>
      </w:pPr>
      <w:r w:rsidRPr="001934E3">
        <w:rPr>
          <w:szCs w:val="24"/>
        </w:rPr>
        <w:t>For individuals, the nor</w:t>
      </w:r>
      <w:r w:rsidRPr="00431484">
        <w:rPr>
          <w:szCs w:val="24"/>
        </w:rPr>
        <w:t>mative range for Subjective Wellbeing scores is 50</w:t>
      </w:r>
      <w:r w:rsidR="00C10F56">
        <w:rPr>
          <w:szCs w:val="24"/>
        </w:rPr>
        <w:t xml:space="preserve"> </w:t>
      </w:r>
      <w:r w:rsidRPr="00431484">
        <w:rPr>
          <w:szCs w:val="24"/>
        </w:rPr>
        <w:t>-</w:t>
      </w:r>
      <w:r w:rsidR="00C10F56">
        <w:rPr>
          <w:szCs w:val="24"/>
        </w:rPr>
        <w:t xml:space="preserve"> </w:t>
      </w:r>
      <w:r w:rsidRPr="00431484">
        <w:rPr>
          <w:szCs w:val="24"/>
        </w:rPr>
        <w:t xml:space="preserve">100 </w:t>
      </w:r>
      <w:r w:rsidR="00DD1F48" w:rsidRPr="00431484">
        <w:rPr>
          <w:szCs w:val="24"/>
        </w:rPr>
        <w:fldChar w:fldCharType="begin"/>
      </w:r>
      <w:r w:rsidR="003F2FC6">
        <w:rPr>
          <w:szCs w:val="24"/>
        </w:rPr>
        <w:instrText xml:space="preserve"> ADDIN ZOTERO_ITEM CSL_CITATION {"citationID":"E9fBb2EV","properties":{"formattedCitation":"(International Wellbeing Group, 2013)","plainCitation":"(International Wellbeing Group, 2013)","dontUpdate":true,"noteIndex":0},"citationItems":[{"id":564,"uris":["http://zotero.org/users/6223488/items/53DSUCGX"],"uri":["http://zotero.org/users/6223488/items/53DSUCGX"],"itemData":{"id":564,"type":"article","language":"English","publisher":"Australian Centre on Quality of Life, Deakin University","title":"Personal Wellbeing Index, 5th ed.","URL":"http://www.acqol.com.au/instruments#measures","author":[{"family":"International Wellbeing Group","given":""}],"issued":{"date-parts":[["2013"]]}}}],"schema":"https://github.com/citation-style-language/schema/raw/master/csl-citation.json"} </w:instrText>
      </w:r>
      <w:r w:rsidR="00DD1F48" w:rsidRPr="00431484">
        <w:rPr>
          <w:szCs w:val="24"/>
        </w:rPr>
        <w:fldChar w:fldCharType="separate"/>
      </w:r>
      <w:r w:rsidR="001B2E49" w:rsidRPr="001B2E49">
        <w:rPr>
          <w:rFonts w:cs="Times New Roman"/>
        </w:rPr>
        <w:t>(International Wellbeing Group, 2013</w:t>
      </w:r>
      <w:r w:rsidR="00DD1F48" w:rsidRPr="00431484">
        <w:rPr>
          <w:szCs w:val="24"/>
        </w:rPr>
        <w:fldChar w:fldCharType="end"/>
      </w:r>
      <w:r w:rsidRPr="00431484">
        <w:rPr>
          <w:szCs w:val="24"/>
        </w:rPr>
        <w:t>) with Australians typically reporting scores ranging from 72</w:t>
      </w:r>
      <w:r w:rsidR="00C10F56">
        <w:rPr>
          <w:szCs w:val="24"/>
        </w:rPr>
        <w:t xml:space="preserve"> </w:t>
      </w:r>
      <w:r w:rsidRPr="00431484">
        <w:rPr>
          <w:szCs w:val="24"/>
        </w:rPr>
        <w:t xml:space="preserve">- 75.43 </w:t>
      </w:r>
      <w:r w:rsidR="00470DFB" w:rsidRPr="00DE371F">
        <w:rPr>
          <w:szCs w:val="24"/>
        </w:rPr>
        <w:fldChar w:fldCharType="begin"/>
      </w:r>
      <w:r w:rsidR="003F2FC6" w:rsidRPr="00DE371F">
        <w:rPr>
          <w:szCs w:val="24"/>
        </w:rPr>
        <w:instrText xml:space="preserve"> ADDIN ZOTERO_ITEM CSL_CITATION {"citationID":"I9SrmJxe","properties":{"formattedCitation":"(Khor et al., in press)","plainCitation":"(Khor et al., in press)","dontUpdate":true,"noteIndex":0},"citationItems":[{"id":565,"uris":["http://zotero.org/users/6223488/items/9HIWTG8U"],"uri":["http://zotero.org/users/6223488/items/9HIWTG8U"],"itemData":{"id":565,"type":"chapter","container-title":"Personal Wellbeing Index Manual","edition":"6","language":"English","publisher":"Australian Centre on Quality of Life, Deakin University","title":"Australian Normative Data - Subjective Wellbeing","author":[{"family":"Khor","given":"Sarah"},{"family":"Fuller-Tyszkiewicz","given":"Matthew"},{"family":"Hutchinson","given":"Delyse"}],"issued":{"date-parts":[["2020"]]}}}],"schema":"https://github.com/citation-style-language/schema/raw/master/csl-citation.json"} </w:instrText>
      </w:r>
      <w:r w:rsidR="00470DFB" w:rsidRPr="00DE371F">
        <w:rPr>
          <w:szCs w:val="24"/>
        </w:rPr>
        <w:fldChar w:fldCharType="separate"/>
      </w:r>
      <w:r w:rsidR="001B2E49" w:rsidRPr="00DE371F">
        <w:rPr>
          <w:rFonts w:cs="Times New Roman"/>
        </w:rPr>
        <w:t xml:space="preserve">(Khor et al., </w:t>
      </w:r>
      <w:r w:rsidR="003964B0" w:rsidRPr="00DE371F">
        <w:rPr>
          <w:rFonts w:cs="Times New Roman"/>
        </w:rPr>
        <w:t>2020</w:t>
      </w:r>
      <w:r w:rsidR="000127F6" w:rsidRPr="00DE371F">
        <w:rPr>
          <w:rFonts w:cs="Times New Roman"/>
        </w:rPr>
        <w:t>;</w:t>
      </w:r>
      <w:r w:rsidR="00470DFB" w:rsidRPr="00DE371F">
        <w:rPr>
          <w:szCs w:val="24"/>
        </w:rPr>
        <w:fldChar w:fldCharType="end"/>
      </w:r>
      <w:r w:rsidR="00CE37AB" w:rsidRPr="00DE371F">
        <w:rPr>
          <w:szCs w:val="24"/>
        </w:rPr>
        <w:fldChar w:fldCharType="begin"/>
      </w:r>
      <w:r w:rsidR="003F2FC6" w:rsidRPr="00DE371F">
        <w:rPr>
          <w:szCs w:val="24"/>
        </w:rPr>
        <w:instrText xml:space="preserve"> ADDIN ZOTERO_ITEM CSL_CITATION {"citationID":"I9egJgp9","properties":{"formattedCitation":"(Misajon et al., 2016)","plainCitation":"(Misajon et al., 2016)","dontUpdate":true,"noteIndex":0},"citationItems":[{"id":558,"uris":["http://zotero.org/users/6223488/items/KHWB4P4D"],"uri":["http://zotero.org/users/6223488/items/KHWB4P4D"],"itemData":{"id":558,"type":"article-journal","abstract":"Purpose The Personal Wellbeing Index (PWI) is used internationally to measure subjective well-being. While numerous studies have reported on the psychometric properties of the PWI using classic test theory, the current paper provides additional psychometric evaluation using the Rasch measurement model.\nMethod The responses to the PWI items of 593 healthy adults living in Australia or Canada were analysed using Rasch analysis. Assessed were overall model ﬁt was assessed, individual person ﬁt and item ﬁt, reliability, differential item functioning (DIF), unidimensionality, targeting, and response format.\nResults Results indicate excellent psychometric properties of the PWI, provided the religion/spirituality item is excluded. The seven-item PWI showed good model ﬁt (overall item–trait interaction v2 = 70.59, df = 63, p = 0.24), excellent person separation (PSI = .89), no item or person misﬁt, and no DIF for country or gender, and unidimensionality was supported. In addition, only very mild disordered thresholds were observed for the ‘safety’ item, indicating that overall, the 11-point response format was suitable for this population.\nConclusion It is recommended that the religion/spirituality item not be included in the aggregated or averaged total score in Western context and that caution should be used in comparison across different groups where the eight-item version has been used.","container-title":"Quality of Life Research","DOI":"10.1007/s11136-016-1302-x","ISSN":"0962-9343, 1573-2649","issue":"10","journalAbbreviation":"Qual Life Res","language":"en","page":"2565-2569","source":"DOI.org (Crossref)","title":"Rasch analysis of the Personal Wellbeing Index","URL":"http://link.springer.com/10.1007/s11136-016-1302-x","volume":"25","author":[{"family":"Misajon","given":"RoseAnne"},{"family":"Pallant","given":"Julie"},{"family":"Bliuc","given":"Ana-Maria"}],"accessed":{"date-parts":[["2020",6,29]]},"issued":{"date-parts":[["2016",10]]}}}],"schema":"https://github.com/citation-style-language/schema/raw/master/csl-citation.json"} </w:instrText>
      </w:r>
      <w:r w:rsidR="00CE37AB" w:rsidRPr="00DE371F">
        <w:rPr>
          <w:szCs w:val="24"/>
        </w:rPr>
        <w:fldChar w:fldCharType="separate"/>
      </w:r>
      <w:r w:rsidR="000127F6" w:rsidRPr="00DE371F">
        <w:rPr>
          <w:rFonts w:cs="Times New Roman"/>
        </w:rPr>
        <w:t xml:space="preserve"> </w:t>
      </w:r>
      <w:r w:rsidR="001B2E49" w:rsidRPr="00DE371F">
        <w:rPr>
          <w:rFonts w:cs="Times New Roman"/>
        </w:rPr>
        <w:t>Misajon et al., 2016</w:t>
      </w:r>
      <w:r w:rsidR="000127F6" w:rsidRPr="00DE371F">
        <w:rPr>
          <w:rFonts w:cs="Times New Roman"/>
        </w:rPr>
        <w:t xml:space="preserve">; </w:t>
      </w:r>
      <w:r w:rsidR="00CE37AB" w:rsidRPr="00DE371F">
        <w:rPr>
          <w:szCs w:val="24"/>
        </w:rPr>
        <w:fldChar w:fldCharType="end"/>
      </w:r>
      <w:r w:rsidR="00CE37AB" w:rsidRPr="00DE371F">
        <w:rPr>
          <w:szCs w:val="24"/>
        </w:rPr>
        <w:fldChar w:fldCharType="begin"/>
      </w:r>
      <w:r w:rsidR="003F2FC6" w:rsidRPr="00DE371F">
        <w:rPr>
          <w:szCs w:val="24"/>
        </w:rPr>
        <w:instrText xml:space="preserve"> ADDIN ZOTERO_ITEM CSL_CITATION {"citationID":"I29vyss0","properties":{"formattedCitation":"(Weinberg et al., 2018)","plainCitation":"(Weinberg et al., 2018)","dontUpdate":true,"noteIndex":0},"citationItems":[{"id":559,"uris":["http://zotero.org/users/6223488/items/PISJWKNP"],"uri":["http://zotero.org/users/6223488/items/PISJWKNP"],"itemData":{"id":559,"type":"article-journal","abstract":"When multi-item questionnaires are included in psychological research, many factors can inﬂuence the response given. One such factor that has traditionally been overlooked is the potential impact of item-order effects. This paper extends upon the work of Kaplan et al. (J Happiness Stud 14:1443–1458, 2013. doi: 10.1007/s10902-012-9388-5) who explored item-order effects in measures of job satisfaction, and applies similar principles to the measurement of life satisfaction, or subjective wellbeing, by exploring item-order effects within the Personal Wellbeing Index (PWI; IWBG in Personal Wellbeing Index, 5th edn. Australian Centre on Quality of Life, Deakin University, Melbourne, 2013. http://www.deakin.edu.au/research/acqol/intruments/wellbeing-index/index.php). In a preliminary study, participants completed the PWI in its standard format (generalspeciﬁc) and psychometric properties were compared to those who completed the PWI in an alternate format (speciﬁc-general). Analyses revealed that the PWI performed adequately for both groups, though there were subtle indications of item-order effects. In a second study, the order of the PWI domains was randomised (random-order) and compared to the standard format (ﬁxed-order). Results revealed lower mean scores and more variation in scores when items were randomised. Overall, the PWI performed as expected for most interrogative analyses. It achieved a single factor solution, no matter the order of items, and the same domains emerged as signiﬁcant unique predictors of general life satisfaction. The study highlights the importance of exploring item-order effects as part of the psychometric validation procedure, and it is recommended that all new scales be subject to this investigation to reduce measurement error and improve accuracy in psychological assessment.","container-title":"Journal of Happiness Studies","DOI":"10.1007/s10902-016-9822-1","ISSN":"1389-4978, 1573-7780","issue":"1","journalAbbreviation":"J Happiness Stud","language":"en","page":"315-332","source":"DOI.org (Crossref)","title":"The Measurement of Subjective Wellbeing: Item-Order Effects in the Personal Wellbeing Index—Adult","title-short":"The Measurement of Subjective Wellbeing","URL":"http://link.springer.com/10.1007/s10902-016-9822-1","volume":"19","author":[{"family":"Weinberg","given":"Melissa K."},{"family":"Seton","given":"Catherine"},{"family":"Cameron","given":"Nikki"}],"accessed":{"date-parts":[["2020",6,29]]},"issued":{"date-parts":[["2018",1]]}}}],"schema":"https://github.com/citation-style-language/schema/raw/master/csl-citation.json"} </w:instrText>
      </w:r>
      <w:r w:rsidR="00CE37AB" w:rsidRPr="00DE371F">
        <w:rPr>
          <w:szCs w:val="24"/>
        </w:rPr>
        <w:fldChar w:fldCharType="separate"/>
      </w:r>
      <w:r w:rsidR="001B2E49" w:rsidRPr="00DE371F">
        <w:rPr>
          <w:rFonts w:cs="Times New Roman"/>
        </w:rPr>
        <w:t>Weinberg et al., 2018)</w:t>
      </w:r>
      <w:r w:rsidR="00CE37AB" w:rsidRPr="00DE371F">
        <w:rPr>
          <w:szCs w:val="24"/>
        </w:rPr>
        <w:fldChar w:fldCharType="end"/>
      </w:r>
      <w:r w:rsidRPr="00DE371F">
        <w:rPr>
          <w:szCs w:val="24"/>
        </w:rPr>
        <w:t>.</w:t>
      </w:r>
    </w:p>
    <w:p w14:paraId="6BB528E3" w14:textId="16580E04" w:rsidR="00B93648" w:rsidRPr="00DE371F" w:rsidRDefault="00F27673" w:rsidP="00972825">
      <w:pPr>
        <w:pStyle w:val="Heading3"/>
      </w:pPr>
      <w:r w:rsidRPr="00DE371F">
        <w:t>Duke University Religion Index</w:t>
      </w:r>
    </w:p>
    <w:p w14:paraId="10708C5E" w14:textId="0E8D10DA" w:rsidR="008679C9" w:rsidRPr="00DE371F" w:rsidRDefault="00090B3A" w:rsidP="008679C9">
      <w:pPr>
        <w:rPr>
          <w:szCs w:val="24"/>
        </w:rPr>
      </w:pPr>
      <w:r w:rsidRPr="00DE371F">
        <w:rPr>
          <w:szCs w:val="24"/>
        </w:rPr>
        <w:t xml:space="preserve">The 5-item </w:t>
      </w:r>
      <w:r w:rsidR="008679C9" w:rsidRPr="00DE371F">
        <w:rPr>
          <w:szCs w:val="24"/>
        </w:rPr>
        <w:t xml:space="preserve">Duke University Religion Index (DUREL; </w:t>
      </w:r>
      <w:r w:rsidR="00A039D0" w:rsidRPr="00DE371F">
        <w:rPr>
          <w:szCs w:val="24"/>
        </w:rPr>
        <w:t>Koenig &amp; Bussing, 2010) measure</w:t>
      </w:r>
      <w:r w:rsidRPr="00DE371F">
        <w:rPr>
          <w:szCs w:val="24"/>
        </w:rPr>
        <w:t>s</w:t>
      </w:r>
      <w:r w:rsidR="00A039D0" w:rsidRPr="00DE371F">
        <w:rPr>
          <w:szCs w:val="24"/>
        </w:rPr>
        <w:t xml:space="preserve"> </w:t>
      </w:r>
      <w:r w:rsidR="00881425" w:rsidRPr="00DE371F">
        <w:rPr>
          <w:szCs w:val="24"/>
        </w:rPr>
        <w:t xml:space="preserve">frequency of engagement in </w:t>
      </w:r>
      <w:r w:rsidR="00B33137">
        <w:rPr>
          <w:szCs w:val="24"/>
        </w:rPr>
        <w:t>O</w:t>
      </w:r>
      <w:r w:rsidR="00C75744" w:rsidRPr="00DE371F">
        <w:rPr>
          <w:szCs w:val="24"/>
        </w:rPr>
        <w:t>rgani</w:t>
      </w:r>
      <w:r w:rsidR="00B06773" w:rsidRPr="00DE371F">
        <w:rPr>
          <w:szCs w:val="24"/>
        </w:rPr>
        <w:t>s</w:t>
      </w:r>
      <w:r w:rsidR="00C75744" w:rsidRPr="00DE371F">
        <w:rPr>
          <w:szCs w:val="24"/>
        </w:rPr>
        <w:t xml:space="preserve">ational </w:t>
      </w:r>
      <w:r w:rsidR="00B33137">
        <w:rPr>
          <w:szCs w:val="24"/>
        </w:rPr>
        <w:t>R</w:t>
      </w:r>
      <w:r w:rsidR="00C75744" w:rsidRPr="00DE371F">
        <w:rPr>
          <w:szCs w:val="24"/>
        </w:rPr>
        <w:t xml:space="preserve">eligious </w:t>
      </w:r>
      <w:r w:rsidR="00B33137">
        <w:rPr>
          <w:szCs w:val="24"/>
        </w:rPr>
        <w:t>A</w:t>
      </w:r>
      <w:r w:rsidR="00C75744" w:rsidRPr="00DE371F">
        <w:rPr>
          <w:szCs w:val="24"/>
        </w:rPr>
        <w:t>ctivity</w:t>
      </w:r>
      <w:r w:rsidR="009E000E" w:rsidRPr="00DE371F">
        <w:rPr>
          <w:szCs w:val="24"/>
        </w:rPr>
        <w:t xml:space="preserve"> (e.g., attending services</w:t>
      </w:r>
      <w:r w:rsidRPr="00DE371F">
        <w:rPr>
          <w:szCs w:val="24"/>
        </w:rPr>
        <w:t>; one item</w:t>
      </w:r>
      <w:r w:rsidR="009E000E" w:rsidRPr="00DE371F">
        <w:rPr>
          <w:szCs w:val="24"/>
        </w:rPr>
        <w:t>)</w:t>
      </w:r>
      <w:r w:rsidR="00C75744" w:rsidRPr="00DE371F">
        <w:rPr>
          <w:szCs w:val="24"/>
        </w:rPr>
        <w:t xml:space="preserve">, </w:t>
      </w:r>
      <w:r w:rsidR="00881425" w:rsidRPr="00DE371F">
        <w:rPr>
          <w:szCs w:val="24"/>
        </w:rPr>
        <w:t xml:space="preserve">frequency of engagement in </w:t>
      </w:r>
      <w:r w:rsidR="00591BC2">
        <w:rPr>
          <w:szCs w:val="24"/>
        </w:rPr>
        <w:t>N</w:t>
      </w:r>
      <w:r w:rsidR="00FC48CF" w:rsidRPr="00DE371F">
        <w:rPr>
          <w:szCs w:val="24"/>
        </w:rPr>
        <w:t>on-</w:t>
      </w:r>
      <w:r w:rsidR="00591BC2">
        <w:rPr>
          <w:szCs w:val="24"/>
        </w:rPr>
        <w:t>O</w:t>
      </w:r>
      <w:r w:rsidR="00FC48CF" w:rsidRPr="00DE371F">
        <w:rPr>
          <w:szCs w:val="24"/>
        </w:rPr>
        <w:t xml:space="preserve">rganisational </w:t>
      </w:r>
      <w:r w:rsidR="00591BC2">
        <w:rPr>
          <w:szCs w:val="24"/>
        </w:rPr>
        <w:t>R</w:t>
      </w:r>
      <w:r w:rsidR="00FC48CF" w:rsidRPr="00DE371F">
        <w:rPr>
          <w:szCs w:val="24"/>
        </w:rPr>
        <w:t xml:space="preserve">eligious </w:t>
      </w:r>
      <w:r w:rsidR="00591BC2">
        <w:rPr>
          <w:szCs w:val="24"/>
        </w:rPr>
        <w:t>A</w:t>
      </w:r>
      <w:r w:rsidR="00FC48CF" w:rsidRPr="00DE371F">
        <w:rPr>
          <w:szCs w:val="24"/>
        </w:rPr>
        <w:t>ctivity (e.g., private prayer</w:t>
      </w:r>
      <w:r w:rsidRPr="00DE371F">
        <w:rPr>
          <w:szCs w:val="24"/>
        </w:rPr>
        <w:t>; one item</w:t>
      </w:r>
      <w:r w:rsidR="009E000E" w:rsidRPr="00DE371F">
        <w:rPr>
          <w:szCs w:val="24"/>
        </w:rPr>
        <w:t>)</w:t>
      </w:r>
      <w:r w:rsidRPr="00DE371F">
        <w:rPr>
          <w:szCs w:val="24"/>
        </w:rPr>
        <w:t>,</w:t>
      </w:r>
      <w:r w:rsidR="009E000E" w:rsidRPr="00DE371F">
        <w:rPr>
          <w:szCs w:val="24"/>
        </w:rPr>
        <w:t xml:space="preserve"> and </w:t>
      </w:r>
      <w:r w:rsidR="00881425" w:rsidRPr="00DE371F">
        <w:rPr>
          <w:szCs w:val="24"/>
        </w:rPr>
        <w:t xml:space="preserve">level of </w:t>
      </w:r>
      <w:r w:rsidR="00CF6F87">
        <w:rPr>
          <w:szCs w:val="24"/>
        </w:rPr>
        <w:t>I</w:t>
      </w:r>
      <w:r w:rsidR="009E000E" w:rsidRPr="00DE371F">
        <w:rPr>
          <w:szCs w:val="24"/>
        </w:rPr>
        <w:t xml:space="preserve">ntrinsic </w:t>
      </w:r>
      <w:r w:rsidR="00CF6F87">
        <w:rPr>
          <w:szCs w:val="24"/>
        </w:rPr>
        <w:t>R</w:t>
      </w:r>
      <w:r w:rsidR="00972825" w:rsidRPr="00DE371F">
        <w:rPr>
          <w:szCs w:val="24"/>
        </w:rPr>
        <w:t>eligiosity (e.g., personal religious commitment).</w:t>
      </w:r>
      <w:r w:rsidR="001F3903" w:rsidRPr="00DE371F">
        <w:rPr>
          <w:szCs w:val="24"/>
        </w:rPr>
        <w:t xml:space="preserve"> </w:t>
      </w:r>
      <w:r w:rsidR="00062F1A" w:rsidRPr="00DE371F">
        <w:rPr>
          <w:szCs w:val="24"/>
        </w:rPr>
        <w:t xml:space="preserve">The </w:t>
      </w:r>
      <w:r w:rsidR="00CF6F87">
        <w:rPr>
          <w:szCs w:val="24"/>
        </w:rPr>
        <w:t>I</w:t>
      </w:r>
      <w:r w:rsidR="003A2944" w:rsidRPr="00DE371F">
        <w:rPr>
          <w:szCs w:val="24"/>
        </w:rPr>
        <w:t xml:space="preserve">ntrinsic </w:t>
      </w:r>
      <w:r w:rsidR="00CF6F87">
        <w:rPr>
          <w:szCs w:val="24"/>
        </w:rPr>
        <w:t>R</w:t>
      </w:r>
      <w:r w:rsidR="003A2944" w:rsidRPr="00DE371F">
        <w:rPr>
          <w:szCs w:val="24"/>
        </w:rPr>
        <w:t xml:space="preserve">eligiosity </w:t>
      </w:r>
      <w:r w:rsidR="00062F1A" w:rsidRPr="00DE371F">
        <w:rPr>
          <w:szCs w:val="24"/>
        </w:rPr>
        <w:t xml:space="preserve">subscale comprises three items accompanied by </w:t>
      </w:r>
      <w:r w:rsidR="00D916B2" w:rsidRPr="00DE371F">
        <w:rPr>
          <w:szCs w:val="24"/>
        </w:rPr>
        <w:t xml:space="preserve">5-point Likert scales where </w:t>
      </w:r>
      <w:r w:rsidR="00D916B2" w:rsidRPr="003E0E7E">
        <w:rPr>
          <w:i/>
          <w:iCs/>
          <w:szCs w:val="24"/>
        </w:rPr>
        <w:t xml:space="preserve">1 = </w:t>
      </w:r>
      <w:proofErr w:type="gramStart"/>
      <w:r w:rsidR="00D916B2" w:rsidRPr="003E0E7E">
        <w:rPr>
          <w:i/>
          <w:iCs/>
          <w:szCs w:val="24"/>
        </w:rPr>
        <w:t>Definitely not</w:t>
      </w:r>
      <w:proofErr w:type="gramEnd"/>
      <w:r w:rsidR="00D916B2" w:rsidRPr="003E0E7E">
        <w:rPr>
          <w:i/>
          <w:iCs/>
          <w:szCs w:val="24"/>
        </w:rPr>
        <w:t xml:space="preserve"> true</w:t>
      </w:r>
      <w:r w:rsidR="00D916B2" w:rsidRPr="00DE371F">
        <w:rPr>
          <w:szCs w:val="24"/>
        </w:rPr>
        <w:t xml:space="preserve"> and </w:t>
      </w:r>
      <w:r w:rsidR="00D916B2" w:rsidRPr="003E0E7E">
        <w:rPr>
          <w:i/>
          <w:iCs/>
          <w:szCs w:val="24"/>
        </w:rPr>
        <w:t xml:space="preserve">5 = </w:t>
      </w:r>
      <w:r w:rsidR="003D7CA0" w:rsidRPr="003E0E7E">
        <w:rPr>
          <w:i/>
          <w:iCs/>
          <w:szCs w:val="24"/>
        </w:rPr>
        <w:t>Definitely true of me</w:t>
      </w:r>
      <w:r w:rsidR="003D7CA0" w:rsidRPr="00DE371F">
        <w:rPr>
          <w:szCs w:val="24"/>
        </w:rPr>
        <w:t>.</w:t>
      </w:r>
      <w:r w:rsidR="00F61150" w:rsidRPr="00DE371F">
        <w:rPr>
          <w:szCs w:val="24"/>
        </w:rPr>
        <w:t xml:space="preserve"> </w:t>
      </w:r>
      <w:r w:rsidR="00A04046">
        <w:rPr>
          <w:szCs w:val="24"/>
        </w:rPr>
        <w:t>The DUREL</w:t>
      </w:r>
      <w:r w:rsidR="00F61150" w:rsidRPr="00DE371F">
        <w:rPr>
          <w:szCs w:val="24"/>
        </w:rPr>
        <w:t xml:space="preserve"> demonstrates </w:t>
      </w:r>
      <w:r w:rsidR="005E6B7D" w:rsidRPr="00DE371F">
        <w:rPr>
          <w:szCs w:val="24"/>
        </w:rPr>
        <w:t xml:space="preserve">good to excellent </w:t>
      </w:r>
      <w:r w:rsidR="00767257" w:rsidRPr="00DE371F">
        <w:rPr>
          <w:szCs w:val="24"/>
        </w:rPr>
        <w:t xml:space="preserve">internal consistency with Cronbach’s αs reported between </w:t>
      </w:r>
      <w:r w:rsidR="003C6A22" w:rsidRPr="00DE371F">
        <w:rPr>
          <w:szCs w:val="24"/>
        </w:rPr>
        <w:t>.75</w:t>
      </w:r>
      <w:r w:rsidR="00C10F56">
        <w:rPr>
          <w:szCs w:val="24"/>
        </w:rPr>
        <w:t xml:space="preserve"> </w:t>
      </w:r>
      <w:r w:rsidR="00525CED" w:rsidRPr="00DE371F">
        <w:rPr>
          <w:szCs w:val="24"/>
        </w:rPr>
        <w:t>-</w:t>
      </w:r>
      <w:r w:rsidR="00C10F56">
        <w:rPr>
          <w:szCs w:val="24"/>
        </w:rPr>
        <w:t xml:space="preserve"> </w:t>
      </w:r>
      <w:r w:rsidR="003F2FC6" w:rsidRPr="00DE371F">
        <w:rPr>
          <w:szCs w:val="24"/>
        </w:rPr>
        <w:t>.92</w:t>
      </w:r>
      <w:r w:rsidR="005E6B7D" w:rsidRPr="00DE371F">
        <w:rPr>
          <w:szCs w:val="24"/>
        </w:rPr>
        <w:t xml:space="preserve"> and mean</w:t>
      </w:r>
      <w:r w:rsidR="00A04046">
        <w:rPr>
          <w:szCs w:val="24"/>
        </w:rPr>
        <w:t xml:space="preserve"> </w:t>
      </w:r>
      <w:r w:rsidR="005E6B7D" w:rsidRPr="00DE371F">
        <w:rPr>
          <w:szCs w:val="24"/>
        </w:rPr>
        <w:t xml:space="preserve">scores </w:t>
      </w:r>
      <w:r w:rsidR="006D39DC" w:rsidRPr="00DE371F">
        <w:rPr>
          <w:szCs w:val="24"/>
        </w:rPr>
        <w:t xml:space="preserve">between </w:t>
      </w:r>
      <w:r w:rsidR="00DE371F" w:rsidRPr="00DE371F">
        <w:rPr>
          <w:szCs w:val="24"/>
        </w:rPr>
        <w:t xml:space="preserve">3.15 </w:t>
      </w:r>
      <w:r w:rsidR="00C10F56">
        <w:rPr>
          <w:szCs w:val="24"/>
        </w:rPr>
        <w:t>and</w:t>
      </w:r>
      <w:r w:rsidR="003513C7" w:rsidRPr="00DE371F">
        <w:rPr>
          <w:szCs w:val="24"/>
        </w:rPr>
        <w:t xml:space="preserve"> 10.4</w:t>
      </w:r>
      <w:r w:rsidR="00DE371F" w:rsidRPr="00DE371F">
        <w:rPr>
          <w:szCs w:val="24"/>
        </w:rPr>
        <w:t xml:space="preserve"> </w:t>
      </w:r>
      <w:r w:rsidR="008B495F" w:rsidRPr="00DE371F">
        <w:rPr>
          <w:szCs w:val="24"/>
        </w:rPr>
        <w:fldChar w:fldCharType="begin"/>
      </w:r>
      <w:r w:rsidR="008B495F" w:rsidRPr="00DE371F">
        <w:rPr>
          <w:szCs w:val="24"/>
        </w:rPr>
        <w:instrText xml:space="preserve"> ADDIN ZOTERO_ITEM CSL_CITATION {"citationID":"5Jgvu0m8","properties":{"formattedCitation":"(Lace &amp; Handal, 2018; Palmer Kelly et al., 2019; Stanford et al., 2019)","plainCitation":"(Lace &amp; Handal, 2018; Palmer Kelly et al., 2019; Stanford et al., 2019)","noteIndex":0},"citationItems":[{"id":602,"uris":["http://zotero.org/users/6223488/items/2NWH5WA8"],"uri":["http://zotero.org/users/6223488/items/2NWH5WA8"],"itemData":{"id":602,"type":"article-journal","abstract":"The present study provided a methodological critique regarding psychometric investigations of the Duke University Religion Index (DUREL) and its variants. Nine hundred seventeen (630 females and 287 males) university students (M age = 19.24) completed the DUREL, the Personal Religious Inventory, and the Daily Spiritual Experiences Scale online. Conﬁrmatory factor analyses were performed to assess a three-factor (organizational religious activity; non-organizational religious activity; and intrinsic religiosity) and a unidimensional model of the DUREL. Chi-square difference tests were performed, and Akaike information criterion values and Bayesian information criterion values were compared between the models, each of which supported the three-factor model for the DUREL over the unidimensional model. Convergent validity for the three factors of the DUREL emerged through Spearman’s rho correlations with measures of personal prayer, ritual religious attendance, religious integration, Closeness to the Divine. This study concluded that the DUREL is a multidimensional measurement of religion for use in English-speaking university students, and it provided a broad methodological note regarding future investigations of measures of religion or spirituality that possess an existing theoretical model.","container-title":"Journal of Religion and Health","DOI":"10.1007/s10943-017-0556-0","ISSN":"0022-4197, 1573-6571","issue":"2","journalAbbreviation":"J Relig Health","language":"en","page":"704-716","source":"DOI.org (Crossref)","title":"Confirming the Tripartite Structure of the Duke University Religion Index: A Methodological Approach","title-short":"Confirming the Tripartite Structure of the Duke University Religion Index","URL":"http://link.springer.com/10.1007/s10943-017-0556-0","volume":"57","author":[{"family":"Lace","given":"John W."},{"family":"Handal","given":"Paul J."}],"accessed":{"date-parts":[["2020",7,20]]},"issued":{"date-parts":[["2018",4]]}}},{"id":601,"uris":["http://zotero.org/users/6223488/items/EPEYGW5K"],"uri":["http://zotero.org/users/6223488/items/EPEYGW5K"],"itemData":{"id":601,"type":"article-journal","abstract":"The objective of the current study was to define the religious and spiritual (R&amp;S) beliefs of healthcare providers and examine how those beliefs translate into clinical practice. A mixed-methods approach was used to administer and analyze an online survey that included individual-level, occupational, and R&amp;S demographic questions, The Duke University Religion Index, and open-ended questions about the use of R&amp;S in clinical practice. Analyses included descriptive statistics (quantitative [QUAN]), content analysis (qualitative [QUAL]), and chi-square test of independence and Fisher’s exact test (QUAN ϩ QUAL). The final analytic cohort was composed of 387 participants. Providers included primary care (26.9%), nurses (27.1%), allied health (23.5%), and mental health (22.5%) professionals. Most participants reported being religious and spiritual (42.9%), followed by only spiritual (36.6%) or neither (20.3%). More providers acknowledged using R&amp;S for coping with work-related stress rather than for clinical decision-making. Still, the use of R&amp;S associated with patient morbidity, mortality, and end-of-life issues emerged as a subtheme for both topics. Overall, there was no difference among provider groups relative to the use of R&amp;S in clinical decision-making and in coping (p ϭ .350 and p ϭ .746, respectively). Among respondents who did use R&amp;S, there were differences among provider groups on how R&amp;S beliefs were used (both ps Ͻ .05). Understanding the role of R&amp;S among healthcare providers may be necessary for addressing and targeting interventions to improve symptoms of burnout and healthcare provider well-being.","container-title":"Psychology of Religion and Spirituality","DOI":"10.1037/rel0000297","ISSN":"1943-1562, 1941-1022","journalAbbreviation":"Psychology of Religion and Spirituality","language":"en","source":"DOI.org (Crossref)","title":"A mixed-methods approach to understanding the role of religion and spirituality in healthcare provider well-being.","URL":"http://doi.apa.org/getdoi.cfm?doi=10.1037/rel0000297","author":[{"family":"Palmer Kelly","given":"Elizabeth"},{"family":"Hyer","given":"Madison"},{"family":"Payne","given":"Nicolette"},{"family":"Pawlik","given":"Timothy M."}],"accessed":{"date-parts":[["2020",7,20]]},"issued":{"date-parts":[["2019",12,30]]}}},{"id":600,"uris":["http://zotero.org/users/6223488/items/D6RAZATI"],"uri":["http://zotero.org/users/6223488/items/D6RAZATI"],"itemData":{"id":600,"type":"article-journal","abstract":"The purpose of the present study was to assess the usefulness of Froese and Bader’s (2010) God Questionnaire (GQ) as it relates to various styles of coping, affect, and self-reported levels of anxiety, depression, and stress. Developed from items in the 2005 Baylor Religion Survey, the GQ can be completed by adherents of many religious traditions, including those who report being agnostic or atheistic. In the present study, Qualtrics’ crowdsourcing services were used to obtain a sample of U.S. adults (N ϭ 1,048) who completed the GQ as well as measures of religiosity/spirituality, positive/ negative affect, depression, anxiety, and stress. Analysis of the data found the psychometric properties of the GQ Judgment and Engagement scales to be somewhat mixed. While the Engagement scale was strongly correlated with positive religious coping, religious activities, and intrinsic religiosity, the Judgment scale correlated only with negative religious coping. Comparison of age, gender, and religious preference among the 4 God image groups of the GQ showed the expected differences. The present results suggest that the 4 God image groups are sensitive to positive and negative affect as well as symptoms of depression, anxiety, and stress. The brevity of the GQ (15 items) and its sensitivity to various psychological symptoms may make it feasible as an intake measure to assess clients’ religion and spirituality.","container-title":"Psychology of Religion and Spirituality","DOI":"10.1037/rel0000292","ISSN":"1943-1562, 1941-1022","journalAbbreviation":"Psychology of Religion and Spirituality","language":"en","source":"DOI.org (Crossref)","title":"Assessing the usefulness of the God Questionnaire.","URL":"http://doi.apa.org/getdoi.cfm?doi=10.1037/rel0000292","author":[{"family":"Stanford","given":"Matthew S."},{"family":"Oxhandler","given":"Holly K."},{"family":"Ellor","given":"James W."}],"accessed":{"date-parts":[["2020",7,20]]},"issued":{"date-parts":[["2019",10,3]]}}}],"schema":"https://github.com/citation-style-language/schema/raw/master/csl-citation.json"} </w:instrText>
      </w:r>
      <w:r w:rsidR="008B495F" w:rsidRPr="00DE371F">
        <w:rPr>
          <w:szCs w:val="24"/>
        </w:rPr>
        <w:fldChar w:fldCharType="separate"/>
      </w:r>
      <w:r w:rsidR="008B495F" w:rsidRPr="00DE371F">
        <w:rPr>
          <w:rFonts w:cs="Times New Roman"/>
        </w:rPr>
        <w:t>(Lace &amp; Handal, 2018; Palmer Kelly et al., 2019; Stanford et al., 2019)</w:t>
      </w:r>
      <w:r w:rsidR="008B495F" w:rsidRPr="00DE371F">
        <w:rPr>
          <w:szCs w:val="24"/>
        </w:rPr>
        <w:fldChar w:fldCharType="end"/>
      </w:r>
    </w:p>
    <w:p w14:paraId="10FF1181" w14:textId="2522756D" w:rsidR="001934E3" w:rsidRPr="001934E3" w:rsidRDefault="006D403A" w:rsidP="006D403A">
      <w:pPr>
        <w:pStyle w:val="Heading1"/>
      </w:pPr>
      <w:r w:rsidRPr="001934E3">
        <w:lastRenderedPageBreak/>
        <w:t>Results</w:t>
      </w:r>
    </w:p>
    <w:p w14:paraId="244F3EA2" w14:textId="77777777" w:rsidR="001934E3" w:rsidRPr="001934E3" w:rsidRDefault="001934E3" w:rsidP="00A4193C">
      <w:pPr>
        <w:pStyle w:val="Heading2"/>
      </w:pPr>
      <w:r w:rsidRPr="001934E3">
        <w:t>Exploratory Factor Analysis</w:t>
      </w:r>
    </w:p>
    <w:p w14:paraId="08715ABB" w14:textId="7E1373CF" w:rsidR="006A223C" w:rsidRDefault="00431B88" w:rsidP="001934E3">
      <w:pPr>
        <w:rPr>
          <w:szCs w:val="24"/>
        </w:rPr>
      </w:pPr>
      <w:r>
        <w:rPr>
          <w:szCs w:val="24"/>
        </w:rPr>
        <w:t>Using SPSS 26.</w:t>
      </w:r>
      <w:r w:rsidRPr="00784FF0">
        <w:rPr>
          <w:szCs w:val="24"/>
        </w:rPr>
        <w:t>0, a</w:t>
      </w:r>
      <w:r w:rsidR="001934E3" w:rsidRPr="00784FF0">
        <w:rPr>
          <w:szCs w:val="24"/>
        </w:rPr>
        <w:t xml:space="preserve">n exploratory factor analysis was carried out </w:t>
      </w:r>
      <w:r w:rsidR="000A2212">
        <w:rPr>
          <w:szCs w:val="24"/>
        </w:rPr>
        <w:t xml:space="preserve">on the 6-item </w:t>
      </w:r>
      <w:r w:rsidR="00E947B1">
        <w:rPr>
          <w:szCs w:val="24"/>
        </w:rPr>
        <w:t xml:space="preserve">contagion-related fear items </w:t>
      </w:r>
      <w:r w:rsidR="001934E3" w:rsidRPr="00784FF0">
        <w:rPr>
          <w:szCs w:val="24"/>
        </w:rPr>
        <w:t>using the data from Sample 1: Australian domestic university students (</w:t>
      </w:r>
      <w:r w:rsidR="001934E3" w:rsidRPr="00784FF0">
        <w:rPr>
          <w:i/>
          <w:iCs/>
          <w:szCs w:val="24"/>
        </w:rPr>
        <w:t>n</w:t>
      </w:r>
      <w:r w:rsidR="00F17E22">
        <w:rPr>
          <w:i/>
          <w:iCs/>
          <w:szCs w:val="24"/>
        </w:rPr>
        <w:t xml:space="preserve"> </w:t>
      </w:r>
      <w:r w:rsidR="001934E3" w:rsidRPr="00784FF0">
        <w:rPr>
          <w:szCs w:val="24"/>
        </w:rPr>
        <w:t>=</w:t>
      </w:r>
      <w:r w:rsidR="00F17E22">
        <w:rPr>
          <w:szCs w:val="24"/>
        </w:rPr>
        <w:t xml:space="preserve"> </w:t>
      </w:r>
      <w:r w:rsidR="001934E3" w:rsidRPr="00784FF0">
        <w:rPr>
          <w:szCs w:val="24"/>
        </w:rPr>
        <w:t>1</w:t>
      </w:r>
      <w:r w:rsidR="004A3623">
        <w:rPr>
          <w:szCs w:val="24"/>
        </w:rPr>
        <w:t>55</w:t>
      </w:r>
      <w:r w:rsidR="001934E3" w:rsidRPr="00784FF0">
        <w:rPr>
          <w:szCs w:val="24"/>
        </w:rPr>
        <w:t xml:space="preserve">). The </w:t>
      </w:r>
      <w:r w:rsidR="00FD2F2F">
        <w:rPr>
          <w:szCs w:val="24"/>
        </w:rPr>
        <w:t>6</w:t>
      </w:r>
      <w:r w:rsidR="001934E3" w:rsidRPr="00784FF0">
        <w:rPr>
          <w:szCs w:val="24"/>
        </w:rPr>
        <w:t xml:space="preserve"> items were assessed as factorable based on a Kaiser-Meyer-Olkin</w:t>
      </w:r>
      <w:r w:rsidR="00943F28">
        <w:rPr>
          <w:szCs w:val="24"/>
        </w:rPr>
        <w:t xml:space="preserve"> (KMO)</w:t>
      </w:r>
      <w:r w:rsidR="001934E3" w:rsidRPr="00784FF0">
        <w:rPr>
          <w:szCs w:val="24"/>
        </w:rPr>
        <w:t xml:space="preserve"> measure of sampling adequacy value of .</w:t>
      </w:r>
      <w:r w:rsidR="004A3623">
        <w:rPr>
          <w:szCs w:val="24"/>
        </w:rPr>
        <w:t>74</w:t>
      </w:r>
      <w:r w:rsidR="001934E3" w:rsidRPr="00784FF0">
        <w:rPr>
          <w:szCs w:val="24"/>
        </w:rPr>
        <w:t xml:space="preserve">, above the recommended value of .60 </w:t>
      </w:r>
      <w:r w:rsidR="00B130F8" w:rsidRPr="00784FF0">
        <w:rPr>
          <w:szCs w:val="24"/>
        </w:rPr>
        <w:fldChar w:fldCharType="begin"/>
      </w:r>
      <w:r w:rsidR="00B130F8" w:rsidRPr="00784FF0">
        <w:rPr>
          <w:szCs w:val="24"/>
        </w:rPr>
        <w:instrText xml:space="preserve"> ADDIN ZOTERO_ITEM CSL_CITATION {"citationID":"5c2VI1Sw","properties":{"formattedCitation":"(Carpenter, 2018)","plainCitation":"(Carpenter, 2018)","noteIndex":0},"citationItems":[{"id":512,"uris":["http://zotero.org/users/6223488/items/SA6ZX3CU"],"uri":["http://zotero.org/users/6223488/items/SA6ZX3CU"],"itemData":{"id":512,"type":"article-journal","abstract":"Scale development involves numerous theoretical, methodological, and statistical competencies. Despite the central role that scales play in our predictions, scholars often apply measurement building procedures that are inconsistent with best practices. The defaults in statistical programs, inadequate training, and numerous evaluation points can lead to improper practices. Based on a quantitative content analysis of communication journal articles, scholars have improved very little in the communication of their scale development decisions and practices. To address these reoccurring issues, this article breaks down and recommends 10 steps to follow in the scale development process for researchers unfamiliar with the process. Furthermore, the present research makes a unique contribution by overviewing procedures scholars should employ to develop their dimensions and corresponding items. The overarching objective is to encourage the adoption of scale development best practices that yield stronger concepts, and in the long run, a more stable foundation of knowledge.","container-title":"Communication Methods and Measures","DOI":"10.1080/19312458.2017.1396583","ISSN":"1931-2458, 1931-2466","issue":"1","journalAbbreviation":"Communication Methods and Measures","language":"en","page":"25-44","source":"DOI.org (Crossref)","title":"Ten Steps in Scale Development and Reporting: A Guide for Researchers","title-short":"Ten Steps in Scale Development and Reporting","URL":"https://www.tandfonline.com/doi/full/10.1080/19312458.2017.1396583","volume":"12","author":[{"family":"Carpenter","given":"Serena"}],"accessed":{"date-parts":[["2020",6,26]]},"issued":{"date-parts":[["2018",1,2]]}}}],"schema":"https://github.com/citation-style-language/schema/raw/master/csl-citation.json"} </w:instrText>
      </w:r>
      <w:r w:rsidR="00B130F8" w:rsidRPr="00784FF0">
        <w:rPr>
          <w:szCs w:val="24"/>
        </w:rPr>
        <w:fldChar w:fldCharType="separate"/>
      </w:r>
      <w:r w:rsidR="00B130F8" w:rsidRPr="00784FF0">
        <w:rPr>
          <w:rFonts w:cs="Times New Roman"/>
        </w:rPr>
        <w:t>(Carpenter, 2018)</w:t>
      </w:r>
      <w:r w:rsidR="00B130F8" w:rsidRPr="00784FF0">
        <w:rPr>
          <w:szCs w:val="24"/>
        </w:rPr>
        <w:fldChar w:fldCharType="end"/>
      </w:r>
      <w:r w:rsidR="001934E3" w:rsidRPr="00784FF0">
        <w:rPr>
          <w:szCs w:val="24"/>
        </w:rPr>
        <w:t xml:space="preserve">, and a Bartlett’s Test of Sphericity value of </w:t>
      </w:r>
      <w:r w:rsidR="001934E3" w:rsidRPr="00784FF0">
        <w:rPr>
          <w:i/>
          <w:iCs/>
          <w:szCs w:val="24"/>
        </w:rPr>
        <w:t>x</w:t>
      </w:r>
      <w:r w:rsidR="001934E3" w:rsidRPr="00784FF0">
        <w:rPr>
          <w:i/>
          <w:iCs/>
          <w:szCs w:val="24"/>
          <w:vertAlign w:val="superscript"/>
        </w:rPr>
        <w:t>2</w:t>
      </w:r>
      <w:r w:rsidR="001934E3" w:rsidRPr="00784FF0">
        <w:rPr>
          <w:szCs w:val="24"/>
        </w:rPr>
        <w:t>(</w:t>
      </w:r>
      <w:r w:rsidR="004A3623">
        <w:rPr>
          <w:szCs w:val="24"/>
        </w:rPr>
        <w:t>15</w:t>
      </w:r>
      <w:r w:rsidR="001934E3" w:rsidRPr="00784FF0">
        <w:rPr>
          <w:szCs w:val="24"/>
        </w:rPr>
        <w:t>)</w:t>
      </w:r>
      <w:r w:rsidR="0041063C" w:rsidRPr="00784FF0">
        <w:rPr>
          <w:szCs w:val="24"/>
        </w:rPr>
        <w:t xml:space="preserve"> </w:t>
      </w:r>
      <w:r w:rsidR="001934E3" w:rsidRPr="00784FF0">
        <w:rPr>
          <w:szCs w:val="24"/>
        </w:rPr>
        <w:t>=</w:t>
      </w:r>
      <w:r w:rsidR="0041063C" w:rsidRPr="00784FF0">
        <w:rPr>
          <w:szCs w:val="24"/>
        </w:rPr>
        <w:t xml:space="preserve"> </w:t>
      </w:r>
      <w:r w:rsidR="004A3623">
        <w:rPr>
          <w:szCs w:val="24"/>
        </w:rPr>
        <w:t>274.67</w:t>
      </w:r>
      <w:r w:rsidR="001934E3" w:rsidRPr="00784FF0">
        <w:rPr>
          <w:szCs w:val="24"/>
        </w:rPr>
        <w:t xml:space="preserve">, </w:t>
      </w:r>
      <w:r w:rsidR="001934E3" w:rsidRPr="00313AC3">
        <w:rPr>
          <w:i/>
          <w:iCs/>
          <w:szCs w:val="24"/>
        </w:rPr>
        <w:t>p</w:t>
      </w:r>
      <w:r w:rsidR="0041063C" w:rsidRPr="00784FF0">
        <w:rPr>
          <w:szCs w:val="24"/>
        </w:rPr>
        <w:t xml:space="preserve"> </w:t>
      </w:r>
      <w:r w:rsidR="001934E3" w:rsidRPr="00784FF0">
        <w:rPr>
          <w:szCs w:val="24"/>
        </w:rPr>
        <w:t>&lt;</w:t>
      </w:r>
      <w:r w:rsidR="006940A9" w:rsidRPr="00784FF0">
        <w:rPr>
          <w:szCs w:val="24"/>
        </w:rPr>
        <w:t xml:space="preserve"> </w:t>
      </w:r>
      <w:r w:rsidR="001934E3" w:rsidRPr="00784FF0">
        <w:rPr>
          <w:szCs w:val="24"/>
        </w:rPr>
        <w:t xml:space="preserve">.001. </w:t>
      </w:r>
    </w:p>
    <w:p w14:paraId="0F228C3F" w14:textId="28F28DFD" w:rsidR="001934E3" w:rsidRDefault="008E4EB7" w:rsidP="00484D40">
      <w:pPr>
        <w:rPr>
          <w:szCs w:val="24"/>
        </w:rPr>
      </w:pPr>
      <w:r>
        <w:rPr>
          <w:szCs w:val="24"/>
        </w:rPr>
        <w:t>I</w:t>
      </w:r>
      <w:r w:rsidR="001934E3" w:rsidRPr="00784FF0">
        <w:rPr>
          <w:szCs w:val="24"/>
        </w:rPr>
        <w:t xml:space="preserve">tem-total correlations for all </w:t>
      </w:r>
      <w:r w:rsidR="00501CA7">
        <w:rPr>
          <w:szCs w:val="24"/>
        </w:rPr>
        <w:t xml:space="preserve">six </w:t>
      </w:r>
      <w:r w:rsidR="001934E3" w:rsidRPr="00784FF0">
        <w:rPr>
          <w:szCs w:val="24"/>
        </w:rPr>
        <w:t xml:space="preserve">items were ≥.3, </w:t>
      </w:r>
      <w:r>
        <w:rPr>
          <w:szCs w:val="24"/>
        </w:rPr>
        <w:t xml:space="preserve">however, </w:t>
      </w:r>
      <w:r w:rsidR="001934E3" w:rsidRPr="00784FF0">
        <w:rPr>
          <w:szCs w:val="24"/>
        </w:rPr>
        <w:t>Cronbach’s α (.</w:t>
      </w:r>
      <w:r w:rsidR="00CB581E">
        <w:rPr>
          <w:szCs w:val="24"/>
        </w:rPr>
        <w:t>7</w:t>
      </w:r>
      <w:r w:rsidR="00643CB7">
        <w:rPr>
          <w:szCs w:val="24"/>
        </w:rPr>
        <w:t>6</w:t>
      </w:r>
      <w:r w:rsidR="001934E3" w:rsidRPr="00784FF0">
        <w:rPr>
          <w:szCs w:val="24"/>
        </w:rPr>
        <w:t xml:space="preserve">) </w:t>
      </w:r>
      <w:r w:rsidR="00D2477E">
        <w:rPr>
          <w:szCs w:val="24"/>
        </w:rPr>
        <w:t xml:space="preserve">could </w:t>
      </w:r>
      <w:r w:rsidR="001934E3" w:rsidRPr="00784FF0">
        <w:rPr>
          <w:szCs w:val="24"/>
        </w:rPr>
        <w:t xml:space="preserve">be </w:t>
      </w:r>
      <w:r w:rsidR="007D22FC">
        <w:rPr>
          <w:szCs w:val="24"/>
        </w:rPr>
        <w:t xml:space="preserve">marginally </w:t>
      </w:r>
      <w:r w:rsidR="001934E3" w:rsidRPr="00784FF0">
        <w:rPr>
          <w:szCs w:val="24"/>
        </w:rPr>
        <w:t>improved</w:t>
      </w:r>
      <w:r w:rsidR="001934E3" w:rsidRPr="001934E3">
        <w:rPr>
          <w:szCs w:val="24"/>
        </w:rPr>
        <w:t xml:space="preserve"> </w:t>
      </w:r>
      <w:r w:rsidR="00CB46E5">
        <w:rPr>
          <w:szCs w:val="24"/>
        </w:rPr>
        <w:t>(to</w:t>
      </w:r>
      <w:r w:rsidR="00474A84">
        <w:rPr>
          <w:szCs w:val="24"/>
        </w:rPr>
        <w:t xml:space="preserve"> </w:t>
      </w:r>
      <w:r w:rsidR="007D22FC">
        <w:rPr>
          <w:szCs w:val="24"/>
        </w:rPr>
        <w:t xml:space="preserve">.77) </w:t>
      </w:r>
      <w:r w:rsidR="001934E3" w:rsidRPr="001934E3">
        <w:rPr>
          <w:szCs w:val="24"/>
        </w:rPr>
        <w:t xml:space="preserve">by </w:t>
      </w:r>
      <w:r w:rsidR="00D2477E">
        <w:rPr>
          <w:szCs w:val="24"/>
        </w:rPr>
        <w:t>the removal of</w:t>
      </w:r>
      <w:r w:rsidR="00F376D2">
        <w:rPr>
          <w:szCs w:val="24"/>
        </w:rPr>
        <w:t xml:space="preserve"> the item,</w:t>
      </w:r>
      <w:r w:rsidR="00D2477E">
        <w:rPr>
          <w:szCs w:val="24"/>
        </w:rPr>
        <w:t xml:space="preserve"> </w:t>
      </w:r>
      <w:proofErr w:type="gramStart"/>
      <w:r w:rsidR="00CB46E5" w:rsidRPr="001F13C3">
        <w:rPr>
          <w:i/>
          <w:iCs/>
          <w:szCs w:val="24"/>
        </w:rPr>
        <w:t>Feel</w:t>
      </w:r>
      <w:proofErr w:type="gramEnd"/>
      <w:r w:rsidR="00CB46E5" w:rsidRPr="001F13C3">
        <w:rPr>
          <w:i/>
          <w:iCs/>
          <w:szCs w:val="24"/>
        </w:rPr>
        <w:t xml:space="preserve"> that I have lost control of l</w:t>
      </w:r>
      <w:r w:rsidR="00CB46E5" w:rsidRPr="00484D40">
        <w:rPr>
          <w:i/>
          <w:iCs/>
          <w:szCs w:val="24"/>
        </w:rPr>
        <w:t>ife</w:t>
      </w:r>
      <w:r w:rsidR="00CB46E5" w:rsidRPr="00484D40">
        <w:rPr>
          <w:szCs w:val="24"/>
        </w:rPr>
        <w:t xml:space="preserve">. </w:t>
      </w:r>
      <w:r w:rsidR="00F376D2" w:rsidRPr="00484D40">
        <w:rPr>
          <w:szCs w:val="24"/>
        </w:rPr>
        <w:t>A</w:t>
      </w:r>
      <w:r w:rsidR="00404F68" w:rsidRPr="00484D40">
        <w:rPr>
          <w:szCs w:val="24"/>
        </w:rPr>
        <w:t>ll items correlated significantly with one another at ≥.3</w:t>
      </w:r>
      <w:r w:rsidR="0039622B">
        <w:rPr>
          <w:szCs w:val="24"/>
        </w:rPr>
        <w:t>,</w:t>
      </w:r>
      <w:r w:rsidR="00404F68" w:rsidRPr="00484D40">
        <w:rPr>
          <w:szCs w:val="24"/>
        </w:rPr>
        <w:t xml:space="preserve"> </w:t>
      </w:r>
      <w:r w:rsidR="0039622B">
        <w:rPr>
          <w:szCs w:val="24"/>
        </w:rPr>
        <w:t xml:space="preserve">again, </w:t>
      </w:r>
      <w:proofErr w:type="gramStart"/>
      <w:r w:rsidR="00404F68" w:rsidRPr="00484D40">
        <w:rPr>
          <w:szCs w:val="24"/>
        </w:rPr>
        <w:t>with the exception of</w:t>
      </w:r>
      <w:proofErr w:type="gramEnd"/>
      <w:r w:rsidR="00404F68" w:rsidRPr="00484D40">
        <w:rPr>
          <w:szCs w:val="24"/>
        </w:rPr>
        <w:t xml:space="preserve"> </w:t>
      </w:r>
      <w:r w:rsidR="00F376D2" w:rsidRPr="00484D40">
        <w:rPr>
          <w:szCs w:val="24"/>
        </w:rPr>
        <w:t>this item.</w:t>
      </w:r>
      <w:r w:rsidR="007006FF" w:rsidRPr="00484D40">
        <w:rPr>
          <w:szCs w:val="24"/>
        </w:rPr>
        <w:t xml:space="preserve"> Any gain in internal consistency </w:t>
      </w:r>
      <w:r w:rsidR="00474A84">
        <w:rPr>
          <w:szCs w:val="24"/>
        </w:rPr>
        <w:t xml:space="preserve">achieved </w:t>
      </w:r>
      <w:r w:rsidR="0039622B">
        <w:rPr>
          <w:szCs w:val="24"/>
        </w:rPr>
        <w:t xml:space="preserve">by </w:t>
      </w:r>
      <w:r w:rsidR="00397491">
        <w:rPr>
          <w:szCs w:val="24"/>
        </w:rPr>
        <w:t xml:space="preserve">the </w:t>
      </w:r>
      <w:r w:rsidR="0039622B">
        <w:rPr>
          <w:szCs w:val="24"/>
        </w:rPr>
        <w:t xml:space="preserve">removal of this item </w:t>
      </w:r>
      <w:r w:rsidR="007006FF" w:rsidRPr="00484D40">
        <w:rPr>
          <w:szCs w:val="24"/>
        </w:rPr>
        <w:t xml:space="preserve">would be offset by the </w:t>
      </w:r>
      <w:r w:rsidR="007F5660" w:rsidRPr="00484D40">
        <w:rPr>
          <w:szCs w:val="24"/>
        </w:rPr>
        <w:t>reduction of one factor to</w:t>
      </w:r>
      <w:r w:rsidR="00397491">
        <w:rPr>
          <w:szCs w:val="24"/>
        </w:rPr>
        <w:t>, at best,</w:t>
      </w:r>
      <w:r w:rsidR="007F5660" w:rsidRPr="00484D40">
        <w:rPr>
          <w:szCs w:val="24"/>
        </w:rPr>
        <w:t xml:space="preserve"> an uninterpretable two items. </w:t>
      </w:r>
      <w:r w:rsidR="00484D40" w:rsidRPr="00484D40">
        <w:rPr>
          <w:szCs w:val="24"/>
        </w:rPr>
        <w:t>For this reason, all items were retained</w:t>
      </w:r>
      <w:r w:rsidR="00484D40">
        <w:rPr>
          <w:szCs w:val="24"/>
        </w:rPr>
        <w:t>,</w:t>
      </w:r>
      <w:r w:rsidR="00484D40" w:rsidRPr="00484D40">
        <w:rPr>
          <w:szCs w:val="24"/>
        </w:rPr>
        <w:t xml:space="preserve"> </w:t>
      </w:r>
      <w:r w:rsidR="001934E3" w:rsidRPr="00484D40">
        <w:rPr>
          <w:szCs w:val="24"/>
        </w:rPr>
        <w:t xml:space="preserve">and the </w:t>
      </w:r>
      <w:r w:rsidR="00643CB7" w:rsidRPr="00484D40">
        <w:rPr>
          <w:szCs w:val="24"/>
        </w:rPr>
        <w:t>6</w:t>
      </w:r>
      <w:r w:rsidR="00C2417F">
        <w:rPr>
          <w:szCs w:val="24"/>
        </w:rPr>
        <w:t xml:space="preserve"> </w:t>
      </w:r>
      <w:r w:rsidR="001934E3" w:rsidRPr="00484D40">
        <w:rPr>
          <w:szCs w:val="24"/>
        </w:rPr>
        <w:t>item</w:t>
      </w:r>
      <w:r w:rsidR="00C2417F">
        <w:rPr>
          <w:szCs w:val="24"/>
        </w:rPr>
        <w:t>s</w:t>
      </w:r>
      <w:r w:rsidR="001934E3" w:rsidRPr="00484D40">
        <w:rPr>
          <w:szCs w:val="24"/>
        </w:rPr>
        <w:t xml:space="preserve"> deemed suitable for factor analysis.</w:t>
      </w:r>
    </w:p>
    <w:p w14:paraId="3B6AF3A0" w14:textId="5C59625A" w:rsidR="001934E3" w:rsidRPr="001934E3" w:rsidRDefault="001934E3" w:rsidP="001934E3">
      <w:pPr>
        <w:rPr>
          <w:szCs w:val="24"/>
        </w:rPr>
      </w:pPr>
      <w:r w:rsidRPr="001934E3">
        <w:rPr>
          <w:szCs w:val="24"/>
        </w:rPr>
        <w:t xml:space="preserve">An exploratory factor analysis, with unrotated Principal Axis Factoring extraction, was conducted as recommended by </w:t>
      </w:r>
      <w:r w:rsidRPr="002F663B">
        <w:rPr>
          <w:szCs w:val="24"/>
        </w:rPr>
        <w:t xml:space="preserve">Carpenter </w:t>
      </w:r>
      <w:r w:rsidR="005D125C" w:rsidRPr="002F663B">
        <w:rPr>
          <w:szCs w:val="24"/>
        </w:rPr>
        <w:fldChar w:fldCharType="begin"/>
      </w:r>
      <w:r w:rsidR="003F2FC6">
        <w:rPr>
          <w:szCs w:val="24"/>
        </w:rPr>
        <w:instrText xml:space="preserve"> ADDIN ZOTERO_ITEM CSL_CITATION {"citationID":"EX7sV2cl","properties":{"formattedCitation":"(Carpenter, 2018)","plainCitation":"(Carpenter, 2018)","dontUpdate":true,"noteIndex":0},"citationItems":[{"id":512,"uris":["http://zotero.org/users/6223488/items/SA6ZX3CU"],"uri":["http://zotero.org/users/6223488/items/SA6ZX3CU"],"itemData":{"id":512,"type":"article-journal","abstract":"Scale development involves numerous theoretical, methodological, and statistical competencies. Despite the central role that scales play in our predictions, scholars often apply measurement building procedures that are inconsistent with best practices. The defaults in statistical programs, inadequate training, and numerous evaluation points can lead to improper practices. Based on a quantitative content analysis of communication journal articles, scholars have improved very little in the communication of their scale development decisions and practices. To address these reoccurring issues, this article breaks down and recommends 10 steps to follow in the scale development process for researchers unfamiliar with the process. Furthermore, the present research makes a unique contribution by overviewing procedures scholars should employ to develop their dimensions and corresponding items. The overarching objective is to encourage the adoption of scale development best practices that yield stronger concepts, and in the long run, a more stable foundation of knowledge.","container-title":"Communication Methods and Measures","DOI":"10.1080/19312458.2017.1396583","ISSN":"1931-2458, 1931-2466","issue":"1","journalAbbreviation":"Communication Methods and Measures","language":"en","page":"25-44","source":"DOI.org (Crossref)","title":"Ten Steps in Scale Development and Reporting: A Guide for Researchers","title-short":"Ten Steps in Scale Development and Reporting","URL":"https://www.tandfonline.com/doi/full/10.1080/19312458.2017.1396583","volume":"12","author":[{"family":"Carpenter","given":"Serena"}],"accessed":{"date-parts":[["2020",6,26]]},"issued":{"date-parts":[["2018",1,2]]}}}],"schema":"https://github.com/citation-style-language/schema/raw/master/csl-citation.json"} </w:instrText>
      </w:r>
      <w:r w:rsidR="005D125C" w:rsidRPr="002F663B">
        <w:rPr>
          <w:szCs w:val="24"/>
        </w:rPr>
        <w:fldChar w:fldCharType="separate"/>
      </w:r>
      <w:r w:rsidR="001B2E49" w:rsidRPr="001B2E49">
        <w:rPr>
          <w:rFonts w:cs="Times New Roman"/>
        </w:rPr>
        <w:t>(2018)</w:t>
      </w:r>
      <w:r w:rsidR="005D125C" w:rsidRPr="002F663B">
        <w:rPr>
          <w:szCs w:val="24"/>
        </w:rPr>
        <w:fldChar w:fldCharType="end"/>
      </w:r>
      <w:r w:rsidRPr="002F663B">
        <w:rPr>
          <w:szCs w:val="24"/>
        </w:rPr>
        <w:t>.</w:t>
      </w:r>
      <w:r w:rsidRPr="001934E3">
        <w:rPr>
          <w:szCs w:val="24"/>
        </w:rPr>
        <w:t xml:space="preserve"> Communalities were all ≥.3, except for </w:t>
      </w:r>
      <w:r w:rsidR="000E1CF6">
        <w:rPr>
          <w:szCs w:val="24"/>
        </w:rPr>
        <w:t>the item</w:t>
      </w:r>
      <w:r w:rsidR="00DF333D">
        <w:rPr>
          <w:szCs w:val="24"/>
        </w:rPr>
        <w:t xml:space="preserve">, </w:t>
      </w:r>
      <w:proofErr w:type="gramStart"/>
      <w:r w:rsidR="00A76975" w:rsidRPr="001F13C3">
        <w:rPr>
          <w:i/>
          <w:iCs/>
          <w:szCs w:val="24"/>
        </w:rPr>
        <w:t>Feel</w:t>
      </w:r>
      <w:proofErr w:type="gramEnd"/>
      <w:r w:rsidR="00A76975" w:rsidRPr="001F13C3">
        <w:rPr>
          <w:i/>
          <w:iCs/>
          <w:szCs w:val="24"/>
        </w:rPr>
        <w:t xml:space="preserve"> that I have lost control of l</w:t>
      </w:r>
      <w:r w:rsidR="00A76975" w:rsidRPr="00484D40">
        <w:rPr>
          <w:i/>
          <w:iCs/>
          <w:szCs w:val="24"/>
        </w:rPr>
        <w:t>ife</w:t>
      </w:r>
      <w:r w:rsidR="003E387A">
        <w:rPr>
          <w:i/>
          <w:iCs/>
          <w:szCs w:val="24"/>
        </w:rPr>
        <w:t xml:space="preserve"> </w:t>
      </w:r>
      <w:r w:rsidR="003E387A" w:rsidRPr="00A045DF">
        <w:rPr>
          <w:szCs w:val="24"/>
        </w:rPr>
        <w:t>(</w:t>
      </w:r>
      <w:r w:rsidR="00330DBD" w:rsidRPr="00A045DF">
        <w:rPr>
          <w:i/>
          <w:iCs/>
          <w:szCs w:val="24"/>
        </w:rPr>
        <w:t>r</w:t>
      </w:r>
      <w:r w:rsidR="00A045DF">
        <w:rPr>
          <w:i/>
          <w:iCs/>
          <w:szCs w:val="24"/>
        </w:rPr>
        <w:t xml:space="preserve"> </w:t>
      </w:r>
      <w:r w:rsidR="00330DBD" w:rsidRPr="00A045DF">
        <w:rPr>
          <w:szCs w:val="24"/>
        </w:rPr>
        <w:t>=</w:t>
      </w:r>
      <w:r w:rsidR="00A045DF">
        <w:rPr>
          <w:szCs w:val="24"/>
        </w:rPr>
        <w:t xml:space="preserve"> </w:t>
      </w:r>
      <w:r w:rsidR="00330DBD" w:rsidRPr="00A045DF">
        <w:rPr>
          <w:szCs w:val="24"/>
        </w:rPr>
        <w:t>.22</w:t>
      </w:r>
      <w:r w:rsidR="00330DBD" w:rsidRPr="00330DBD">
        <w:rPr>
          <w:szCs w:val="24"/>
        </w:rPr>
        <w:t>)</w:t>
      </w:r>
      <w:r w:rsidRPr="001934E3">
        <w:rPr>
          <w:szCs w:val="24"/>
        </w:rPr>
        <w:t xml:space="preserve">. Two factors emerged with Eigenvalues greater than 1, explaining </w:t>
      </w:r>
      <w:r w:rsidR="00CE5F3D">
        <w:rPr>
          <w:szCs w:val="24"/>
        </w:rPr>
        <w:t>67.</w:t>
      </w:r>
      <w:r w:rsidR="00D3478C">
        <w:rPr>
          <w:szCs w:val="24"/>
        </w:rPr>
        <w:t>10</w:t>
      </w:r>
      <w:r w:rsidRPr="001934E3">
        <w:rPr>
          <w:szCs w:val="24"/>
        </w:rPr>
        <w:t xml:space="preserve">% of the variance. </w:t>
      </w:r>
      <w:r w:rsidR="0067428C">
        <w:rPr>
          <w:szCs w:val="24"/>
        </w:rPr>
        <w:t xml:space="preserve">Ho et al’s </w:t>
      </w:r>
      <w:r w:rsidR="00D45CF7">
        <w:rPr>
          <w:szCs w:val="24"/>
        </w:rPr>
        <w:t xml:space="preserve">three </w:t>
      </w:r>
      <w:r w:rsidR="0067428C">
        <w:rPr>
          <w:szCs w:val="24"/>
        </w:rPr>
        <w:t xml:space="preserve">‘feelings of insecurity’ </w:t>
      </w:r>
      <w:r w:rsidR="00D45CF7">
        <w:rPr>
          <w:szCs w:val="24"/>
        </w:rPr>
        <w:t xml:space="preserve">items </w:t>
      </w:r>
      <w:r w:rsidRPr="001934E3">
        <w:rPr>
          <w:szCs w:val="24"/>
        </w:rPr>
        <w:t>loaded at ≥.4 on the first factor which explained 4</w:t>
      </w:r>
      <w:r w:rsidR="00E9234F">
        <w:rPr>
          <w:szCs w:val="24"/>
        </w:rPr>
        <w:t>6</w:t>
      </w:r>
      <w:r w:rsidRPr="001934E3">
        <w:rPr>
          <w:szCs w:val="24"/>
        </w:rPr>
        <w:t>.</w:t>
      </w:r>
      <w:r w:rsidR="00E9234F">
        <w:rPr>
          <w:szCs w:val="24"/>
        </w:rPr>
        <w:t>84</w:t>
      </w:r>
      <w:r w:rsidRPr="001934E3">
        <w:rPr>
          <w:szCs w:val="24"/>
        </w:rPr>
        <w:t xml:space="preserve">% of variance and </w:t>
      </w:r>
      <w:r w:rsidR="003B50C4">
        <w:rPr>
          <w:szCs w:val="24"/>
        </w:rPr>
        <w:t>the</w:t>
      </w:r>
      <w:r w:rsidR="0067428C">
        <w:rPr>
          <w:szCs w:val="24"/>
        </w:rPr>
        <w:t>ir</w:t>
      </w:r>
      <w:r w:rsidR="003B50C4">
        <w:rPr>
          <w:szCs w:val="24"/>
        </w:rPr>
        <w:t xml:space="preserve"> three </w:t>
      </w:r>
      <w:r w:rsidR="0067428C">
        <w:rPr>
          <w:szCs w:val="24"/>
        </w:rPr>
        <w:t xml:space="preserve">‘fear of infection’ </w:t>
      </w:r>
      <w:r w:rsidRPr="001934E3">
        <w:rPr>
          <w:szCs w:val="24"/>
        </w:rPr>
        <w:t>items loaded ≥.</w:t>
      </w:r>
      <w:r w:rsidR="00ED1475">
        <w:rPr>
          <w:szCs w:val="24"/>
        </w:rPr>
        <w:t>4</w:t>
      </w:r>
      <w:r w:rsidRPr="001934E3">
        <w:rPr>
          <w:szCs w:val="24"/>
        </w:rPr>
        <w:t xml:space="preserve"> on the second factor which accounted for an additional </w:t>
      </w:r>
      <w:r w:rsidR="00ED1475">
        <w:rPr>
          <w:szCs w:val="24"/>
        </w:rPr>
        <w:t>20</w:t>
      </w:r>
      <w:r w:rsidRPr="001934E3">
        <w:rPr>
          <w:szCs w:val="24"/>
        </w:rPr>
        <w:t>.</w:t>
      </w:r>
      <w:r w:rsidR="00ED1475">
        <w:rPr>
          <w:szCs w:val="24"/>
        </w:rPr>
        <w:t>26</w:t>
      </w:r>
      <w:r w:rsidRPr="001934E3">
        <w:rPr>
          <w:szCs w:val="24"/>
        </w:rPr>
        <w:t xml:space="preserve">% of the variance. </w:t>
      </w:r>
    </w:p>
    <w:p w14:paraId="0F86A2F3" w14:textId="6C4203CB" w:rsidR="001934E3" w:rsidRPr="001934E3" w:rsidRDefault="001934E3" w:rsidP="001934E3">
      <w:pPr>
        <w:rPr>
          <w:szCs w:val="24"/>
        </w:rPr>
      </w:pPr>
      <w:r w:rsidRPr="001934E3">
        <w:rPr>
          <w:szCs w:val="24"/>
        </w:rPr>
        <w:t xml:space="preserve">A </w:t>
      </w:r>
      <w:r w:rsidR="00DC15A1">
        <w:rPr>
          <w:szCs w:val="24"/>
        </w:rPr>
        <w:t xml:space="preserve">further </w:t>
      </w:r>
      <w:r w:rsidRPr="001934E3">
        <w:rPr>
          <w:szCs w:val="24"/>
        </w:rPr>
        <w:t xml:space="preserve">factor analysis, with </w:t>
      </w:r>
      <w:r w:rsidR="00225173">
        <w:rPr>
          <w:szCs w:val="24"/>
        </w:rPr>
        <w:t xml:space="preserve">Maximum Likelihood extraction </w:t>
      </w:r>
      <w:r w:rsidRPr="001934E3">
        <w:rPr>
          <w:szCs w:val="24"/>
        </w:rPr>
        <w:t xml:space="preserve">and Promax rotation, was conducted on the </w:t>
      </w:r>
      <w:r w:rsidR="00225173">
        <w:rPr>
          <w:szCs w:val="24"/>
        </w:rPr>
        <w:t xml:space="preserve">six </w:t>
      </w:r>
      <w:r w:rsidRPr="001934E3">
        <w:rPr>
          <w:szCs w:val="24"/>
        </w:rPr>
        <w:t xml:space="preserve">items </w:t>
      </w:r>
      <w:r w:rsidR="002630C8">
        <w:rPr>
          <w:szCs w:val="24"/>
        </w:rPr>
        <w:t xml:space="preserve">confirming the </w:t>
      </w:r>
      <w:r w:rsidRPr="001934E3">
        <w:rPr>
          <w:szCs w:val="24"/>
        </w:rPr>
        <w:t xml:space="preserve">two-factor solution explaining </w:t>
      </w:r>
      <w:r w:rsidR="00756E75">
        <w:rPr>
          <w:szCs w:val="24"/>
        </w:rPr>
        <w:t>67</w:t>
      </w:r>
      <w:r w:rsidRPr="001934E3">
        <w:rPr>
          <w:szCs w:val="24"/>
        </w:rPr>
        <w:t>.</w:t>
      </w:r>
      <w:r w:rsidR="00756E75">
        <w:rPr>
          <w:szCs w:val="24"/>
        </w:rPr>
        <w:t>10</w:t>
      </w:r>
      <w:r w:rsidRPr="001934E3">
        <w:rPr>
          <w:szCs w:val="24"/>
        </w:rPr>
        <w:t xml:space="preserve">% (see Table </w:t>
      </w:r>
      <w:r w:rsidR="00A7711E">
        <w:rPr>
          <w:szCs w:val="24"/>
        </w:rPr>
        <w:t>1</w:t>
      </w:r>
      <w:r w:rsidRPr="001934E3">
        <w:rPr>
          <w:szCs w:val="24"/>
        </w:rPr>
        <w:t xml:space="preserve">). The two </w:t>
      </w:r>
      <w:r w:rsidR="00756E75">
        <w:rPr>
          <w:szCs w:val="24"/>
        </w:rPr>
        <w:t>3</w:t>
      </w:r>
      <w:r w:rsidRPr="001934E3">
        <w:rPr>
          <w:szCs w:val="24"/>
        </w:rPr>
        <w:t xml:space="preserve">-item factors were labelled Fear of Infection (Fear) and Existential Threat (Threat). </w:t>
      </w:r>
      <w:r w:rsidR="004526E8">
        <w:rPr>
          <w:szCs w:val="24"/>
        </w:rPr>
        <w:t>T</w:t>
      </w:r>
      <w:r w:rsidRPr="001934E3">
        <w:rPr>
          <w:szCs w:val="24"/>
        </w:rPr>
        <w:t xml:space="preserve">his model demonstrated </w:t>
      </w:r>
      <w:r w:rsidR="004526E8">
        <w:rPr>
          <w:szCs w:val="24"/>
        </w:rPr>
        <w:t xml:space="preserve">good </w:t>
      </w:r>
      <w:r w:rsidRPr="001934E3">
        <w:rPr>
          <w:szCs w:val="24"/>
        </w:rPr>
        <w:t xml:space="preserve">fit, </w:t>
      </w:r>
      <w:r w:rsidRPr="006C2CB8">
        <w:rPr>
          <w:i/>
          <w:iCs/>
          <w:szCs w:val="24"/>
        </w:rPr>
        <w:t>x</w:t>
      </w:r>
      <w:r w:rsidRPr="006C2CB8">
        <w:rPr>
          <w:i/>
          <w:iCs/>
          <w:szCs w:val="24"/>
          <w:vertAlign w:val="superscript"/>
        </w:rPr>
        <w:t>2</w:t>
      </w:r>
      <w:r w:rsidRPr="001934E3">
        <w:rPr>
          <w:szCs w:val="24"/>
        </w:rPr>
        <w:t>(</w:t>
      </w:r>
      <w:r w:rsidR="004526E8">
        <w:rPr>
          <w:szCs w:val="24"/>
        </w:rPr>
        <w:t>4</w:t>
      </w:r>
      <w:r w:rsidRPr="001934E3">
        <w:rPr>
          <w:szCs w:val="24"/>
        </w:rPr>
        <w:t>)</w:t>
      </w:r>
      <w:r w:rsidR="006C2CB8">
        <w:rPr>
          <w:szCs w:val="24"/>
        </w:rPr>
        <w:t xml:space="preserve"> </w:t>
      </w:r>
      <w:r w:rsidRPr="001934E3">
        <w:rPr>
          <w:szCs w:val="24"/>
        </w:rPr>
        <w:t>=</w:t>
      </w:r>
      <w:r w:rsidR="006C2CB8">
        <w:rPr>
          <w:szCs w:val="24"/>
        </w:rPr>
        <w:t xml:space="preserve"> </w:t>
      </w:r>
      <w:r w:rsidR="00FB4DAE">
        <w:rPr>
          <w:szCs w:val="24"/>
        </w:rPr>
        <w:t>3.18</w:t>
      </w:r>
      <w:r w:rsidRPr="001934E3">
        <w:rPr>
          <w:szCs w:val="24"/>
        </w:rPr>
        <w:t xml:space="preserve">, </w:t>
      </w:r>
      <w:r w:rsidRPr="006C2CB8">
        <w:rPr>
          <w:i/>
          <w:iCs/>
          <w:szCs w:val="24"/>
        </w:rPr>
        <w:t>p</w:t>
      </w:r>
      <w:r w:rsidR="006C2CB8">
        <w:rPr>
          <w:szCs w:val="24"/>
        </w:rPr>
        <w:t xml:space="preserve"> </w:t>
      </w:r>
      <w:r w:rsidRPr="001934E3">
        <w:rPr>
          <w:szCs w:val="24"/>
        </w:rPr>
        <w:t>=</w:t>
      </w:r>
      <w:r w:rsidR="006C2CB8">
        <w:rPr>
          <w:szCs w:val="24"/>
        </w:rPr>
        <w:t xml:space="preserve"> </w:t>
      </w:r>
      <w:r w:rsidRPr="001934E3">
        <w:rPr>
          <w:szCs w:val="24"/>
        </w:rPr>
        <w:t>.</w:t>
      </w:r>
      <w:r w:rsidR="00FB4DAE">
        <w:rPr>
          <w:szCs w:val="24"/>
        </w:rPr>
        <w:t>5</w:t>
      </w:r>
      <w:r w:rsidRPr="001934E3">
        <w:rPr>
          <w:szCs w:val="24"/>
        </w:rPr>
        <w:t xml:space="preserve">3, </w:t>
      </w:r>
      <w:r w:rsidR="00944B49">
        <w:rPr>
          <w:szCs w:val="24"/>
        </w:rPr>
        <w:t xml:space="preserve">and </w:t>
      </w:r>
      <w:r w:rsidRPr="001934E3">
        <w:rPr>
          <w:szCs w:val="24"/>
        </w:rPr>
        <w:t>was retained for further investigation.</w:t>
      </w:r>
    </w:p>
    <w:p w14:paraId="3B2600E5" w14:textId="77777777" w:rsidR="001934E3" w:rsidRPr="001934E3" w:rsidRDefault="001934E3" w:rsidP="00A4193C">
      <w:pPr>
        <w:pStyle w:val="Heading2"/>
      </w:pPr>
      <w:r w:rsidRPr="001934E3">
        <w:t>Confirmatory factor analysis</w:t>
      </w:r>
    </w:p>
    <w:p w14:paraId="3BFD2902" w14:textId="533733BF" w:rsidR="001934E3" w:rsidRPr="001934E3" w:rsidRDefault="001934E3" w:rsidP="001934E3">
      <w:pPr>
        <w:rPr>
          <w:szCs w:val="24"/>
        </w:rPr>
      </w:pPr>
      <w:r w:rsidRPr="001934E3">
        <w:rPr>
          <w:szCs w:val="24"/>
        </w:rPr>
        <w:t xml:space="preserve">Confirmatory factor analysis of the 2-factor solution for the </w:t>
      </w:r>
      <w:r w:rsidR="00897CCD">
        <w:rPr>
          <w:szCs w:val="24"/>
        </w:rPr>
        <w:t>6</w:t>
      </w:r>
      <w:r w:rsidR="009B48D4">
        <w:rPr>
          <w:szCs w:val="24"/>
        </w:rPr>
        <w:t xml:space="preserve"> </w:t>
      </w:r>
      <w:r w:rsidRPr="001934E3">
        <w:rPr>
          <w:szCs w:val="24"/>
        </w:rPr>
        <w:t>item</w:t>
      </w:r>
      <w:r w:rsidR="00D734B7">
        <w:rPr>
          <w:szCs w:val="24"/>
        </w:rPr>
        <w:t xml:space="preserve">s </w:t>
      </w:r>
      <w:r w:rsidRPr="001934E3">
        <w:rPr>
          <w:szCs w:val="24"/>
        </w:rPr>
        <w:t>was conducted for the Indian (KMO</w:t>
      </w:r>
      <w:r w:rsidR="004F3BA2">
        <w:rPr>
          <w:szCs w:val="24"/>
        </w:rPr>
        <w:t xml:space="preserve"> </w:t>
      </w:r>
      <w:r w:rsidRPr="001934E3">
        <w:rPr>
          <w:szCs w:val="24"/>
        </w:rPr>
        <w:t>=</w:t>
      </w:r>
      <w:r w:rsidR="004F3BA2">
        <w:rPr>
          <w:szCs w:val="24"/>
        </w:rPr>
        <w:t xml:space="preserve"> </w:t>
      </w:r>
      <w:r w:rsidRPr="001934E3">
        <w:rPr>
          <w:szCs w:val="24"/>
        </w:rPr>
        <w:t>.</w:t>
      </w:r>
      <w:r w:rsidR="003B38C2">
        <w:rPr>
          <w:szCs w:val="24"/>
        </w:rPr>
        <w:t>77</w:t>
      </w:r>
      <w:r w:rsidR="00D734B7">
        <w:rPr>
          <w:szCs w:val="24"/>
        </w:rPr>
        <w:t>;</w:t>
      </w:r>
      <w:r w:rsidRPr="001934E3">
        <w:rPr>
          <w:szCs w:val="24"/>
        </w:rPr>
        <w:t xml:space="preserve"> Bartlett’s </w:t>
      </w:r>
      <w:r w:rsidR="002E6D0B" w:rsidRPr="006C2CB8">
        <w:rPr>
          <w:i/>
          <w:iCs/>
          <w:szCs w:val="24"/>
        </w:rPr>
        <w:t>x</w:t>
      </w:r>
      <w:r w:rsidR="002E6D0B" w:rsidRPr="006C2CB8">
        <w:rPr>
          <w:i/>
          <w:iCs/>
          <w:szCs w:val="24"/>
          <w:vertAlign w:val="superscript"/>
        </w:rPr>
        <w:t>2</w:t>
      </w:r>
      <w:r w:rsidRPr="001934E3">
        <w:rPr>
          <w:szCs w:val="24"/>
        </w:rPr>
        <w:t>(</w:t>
      </w:r>
      <w:r w:rsidR="003B38C2">
        <w:rPr>
          <w:szCs w:val="24"/>
        </w:rPr>
        <w:t>15</w:t>
      </w:r>
      <w:r w:rsidRPr="001934E3">
        <w:rPr>
          <w:szCs w:val="24"/>
        </w:rPr>
        <w:t>)</w:t>
      </w:r>
      <w:r w:rsidR="002E6D0B">
        <w:rPr>
          <w:szCs w:val="24"/>
        </w:rPr>
        <w:t xml:space="preserve"> </w:t>
      </w:r>
      <w:r w:rsidRPr="001934E3">
        <w:rPr>
          <w:szCs w:val="24"/>
        </w:rPr>
        <w:t>=</w:t>
      </w:r>
      <w:r w:rsidR="002E6D0B">
        <w:rPr>
          <w:szCs w:val="24"/>
        </w:rPr>
        <w:t xml:space="preserve"> </w:t>
      </w:r>
      <w:r w:rsidR="003B38C2">
        <w:rPr>
          <w:szCs w:val="24"/>
        </w:rPr>
        <w:t>234.71</w:t>
      </w:r>
      <w:r w:rsidRPr="001934E3">
        <w:rPr>
          <w:szCs w:val="24"/>
        </w:rPr>
        <w:t xml:space="preserve">, </w:t>
      </w:r>
      <w:r w:rsidRPr="002E6D0B">
        <w:rPr>
          <w:i/>
          <w:iCs/>
          <w:szCs w:val="24"/>
        </w:rPr>
        <w:t>p</w:t>
      </w:r>
      <w:r w:rsidR="002E6D0B">
        <w:rPr>
          <w:szCs w:val="24"/>
        </w:rPr>
        <w:t xml:space="preserve"> </w:t>
      </w:r>
      <w:r w:rsidRPr="001934E3">
        <w:rPr>
          <w:szCs w:val="24"/>
        </w:rPr>
        <w:t>&lt;</w:t>
      </w:r>
      <w:r w:rsidR="002E6D0B">
        <w:rPr>
          <w:szCs w:val="24"/>
        </w:rPr>
        <w:t xml:space="preserve"> </w:t>
      </w:r>
      <w:r w:rsidRPr="001934E3">
        <w:rPr>
          <w:szCs w:val="24"/>
        </w:rPr>
        <w:t>.001) and Nepali (KMO</w:t>
      </w:r>
      <w:r w:rsidR="004F3BA2">
        <w:rPr>
          <w:szCs w:val="24"/>
        </w:rPr>
        <w:t xml:space="preserve"> </w:t>
      </w:r>
      <w:r w:rsidRPr="001934E3">
        <w:rPr>
          <w:szCs w:val="24"/>
        </w:rPr>
        <w:t>=</w:t>
      </w:r>
      <w:r w:rsidR="004F3BA2">
        <w:rPr>
          <w:szCs w:val="24"/>
        </w:rPr>
        <w:t xml:space="preserve"> </w:t>
      </w:r>
      <w:r w:rsidRPr="001934E3">
        <w:rPr>
          <w:szCs w:val="24"/>
        </w:rPr>
        <w:t>.</w:t>
      </w:r>
      <w:r w:rsidR="00830C23">
        <w:rPr>
          <w:szCs w:val="24"/>
        </w:rPr>
        <w:t>76</w:t>
      </w:r>
      <w:r w:rsidR="00D734B7">
        <w:rPr>
          <w:szCs w:val="24"/>
        </w:rPr>
        <w:t>;</w:t>
      </w:r>
      <w:r w:rsidRPr="001934E3">
        <w:rPr>
          <w:szCs w:val="24"/>
        </w:rPr>
        <w:t xml:space="preserve"> Bartlett’s </w:t>
      </w:r>
      <w:r w:rsidR="002E6D0B" w:rsidRPr="006C2CB8">
        <w:rPr>
          <w:i/>
          <w:iCs/>
          <w:szCs w:val="24"/>
        </w:rPr>
        <w:t>x</w:t>
      </w:r>
      <w:r w:rsidR="002E6D0B" w:rsidRPr="006C2CB8">
        <w:rPr>
          <w:i/>
          <w:iCs/>
          <w:szCs w:val="24"/>
          <w:vertAlign w:val="superscript"/>
        </w:rPr>
        <w:t>2</w:t>
      </w:r>
      <w:r w:rsidRPr="001934E3">
        <w:rPr>
          <w:szCs w:val="24"/>
        </w:rPr>
        <w:t>(</w:t>
      </w:r>
      <w:r w:rsidR="00830C23">
        <w:rPr>
          <w:szCs w:val="24"/>
        </w:rPr>
        <w:t>15</w:t>
      </w:r>
      <w:r w:rsidRPr="001934E3">
        <w:rPr>
          <w:szCs w:val="24"/>
        </w:rPr>
        <w:t>)</w:t>
      </w:r>
      <w:r w:rsidR="0027635F">
        <w:rPr>
          <w:szCs w:val="24"/>
        </w:rPr>
        <w:t xml:space="preserve"> </w:t>
      </w:r>
      <w:r w:rsidRPr="001934E3">
        <w:rPr>
          <w:szCs w:val="24"/>
        </w:rPr>
        <w:t>=</w:t>
      </w:r>
      <w:r w:rsidR="0027635F">
        <w:rPr>
          <w:szCs w:val="24"/>
        </w:rPr>
        <w:t xml:space="preserve"> </w:t>
      </w:r>
      <w:r w:rsidR="00830C23">
        <w:rPr>
          <w:szCs w:val="24"/>
        </w:rPr>
        <w:t>172.91</w:t>
      </w:r>
      <w:r w:rsidRPr="001934E3">
        <w:rPr>
          <w:szCs w:val="24"/>
        </w:rPr>
        <w:t xml:space="preserve">, </w:t>
      </w:r>
      <w:r w:rsidRPr="0027635F">
        <w:rPr>
          <w:i/>
          <w:iCs/>
          <w:szCs w:val="24"/>
        </w:rPr>
        <w:t>p</w:t>
      </w:r>
      <w:r w:rsidR="0027635F">
        <w:rPr>
          <w:szCs w:val="24"/>
        </w:rPr>
        <w:t xml:space="preserve"> </w:t>
      </w:r>
      <w:r w:rsidRPr="001934E3">
        <w:rPr>
          <w:szCs w:val="24"/>
        </w:rPr>
        <w:t xml:space="preserve">&lt;.001) samples. The Maximum Likelihood method of extraction was used with Direct Oblimin rotation. The Indian sample </w:t>
      </w:r>
      <w:r w:rsidR="005B75C9">
        <w:rPr>
          <w:szCs w:val="24"/>
        </w:rPr>
        <w:t>re</w:t>
      </w:r>
      <w:r w:rsidRPr="001934E3">
        <w:rPr>
          <w:szCs w:val="24"/>
        </w:rPr>
        <w:t xml:space="preserve">produced </w:t>
      </w:r>
      <w:r w:rsidR="005B75C9">
        <w:rPr>
          <w:szCs w:val="24"/>
        </w:rPr>
        <w:t>the</w:t>
      </w:r>
      <w:r w:rsidRPr="001934E3">
        <w:rPr>
          <w:szCs w:val="24"/>
        </w:rPr>
        <w:t xml:space="preserve"> </w:t>
      </w:r>
      <w:r w:rsidR="006738C8">
        <w:rPr>
          <w:szCs w:val="24"/>
        </w:rPr>
        <w:t>2</w:t>
      </w:r>
      <w:r w:rsidRPr="001934E3">
        <w:rPr>
          <w:szCs w:val="24"/>
        </w:rPr>
        <w:t xml:space="preserve">-factor solution with </w:t>
      </w:r>
      <w:r w:rsidR="00855830">
        <w:rPr>
          <w:szCs w:val="24"/>
        </w:rPr>
        <w:t>good</w:t>
      </w:r>
      <w:r w:rsidRPr="001934E3">
        <w:rPr>
          <w:szCs w:val="24"/>
        </w:rPr>
        <w:t xml:space="preserve"> model fit (</w:t>
      </w:r>
      <w:r w:rsidR="0027635F" w:rsidRPr="006C2CB8">
        <w:rPr>
          <w:i/>
          <w:iCs/>
          <w:szCs w:val="24"/>
        </w:rPr>
        <w:t>x</w:t>
      </w:r>
      <w:r w:rsidR="0027635F" w:rsidRPr="006C2CB8">
        <w:rPr>
          <w:i/>
          <w:iCs/>
          <w:szCs w:val="24"/>
          <w:vertAlign w:val="superscript"/>
        </w:rPr>
        <w:t>2</w:t>
      </w:r>
      <w:r w:rsidRPr="001934E3">
        <w:rPr>
          <w:szCs w:val="24"/>
        </w:rPr>
        <w:t>(</w:t>
      </w:r>
      <w:r w:rsidR="00855830">
        <w:rPr>
          <w:szCs w:val="24"/>
        </w:rPr>
        <w:t>4</w:t>
      </w:r>
      <w:r w:rsidRPr="001934E3">
        <w:rPr>
          <w:szCs w:val="24"/>
        </w:rPr>
        <w:t>)</w:t>
      </w:r>
      <w:r w:rsidR="0027635F">
        <w:rPr>
          <w:szCs w:val="24"/>
        </w:rPr>
        <w:t xml:space="preserve"> </w:t>
      </w:r>
      <w:r w:rsidRPr="001934E3">
        <w:rPr>
          <w:szCs w:val="24"/>
        </w:rPr>
        <w:t>=</w:t>
      </w:r>
      <w:r w:rsidR="0027635F">
        <w:rPr>
          <w:szCs w:val="24"/>
        </w:rPr>
        <w:t xml:space="preserve"> </w:t>
      </w:r>
      <w:r w:rsidR="005C47A8">
        <w:rPr>
          <w:szCs w:val="24"/>
        </w:rPr>
        <w:t>3.15</w:t>
      </w:r>
      <w:r w:rsidRPr="001934E3">
        <w:rPr>
          <w:szCs w:val="24"/>
        </w:rPr>
        <w:t xml:space="preserve">, </w:t>
      </w:r>
      <w:r w:rsidRPr="0027635F">
        <w:rPr>
          <w:i/>
          <w:iCs/>
          <w:szCs w:val="24"/>
        </w:rPr>
        <w:t>p</w:t>
      </w:r>
      <w:r w:rsidR="0027635F">
        <w:rPr>
          <w:szCs w:val="24"/>
        </w:rPr>
        <w:t xml:space="preserve"> </w:t>
      </w:r>
      <w:r w:rsidRPr="001934E3">
        <w:rPr>
          <w:szCs w:val="24"/>
        </w:rPr>
        <w:t>=.</w:t>
      </w:r>
      <w:r w:rsidR="005C47A8">
        <w:rPr>
          <w:szCs w:val="24"/>
        </w:rPr>
        <w:t>53</w:t>
      </w:r>
      <w:r w:rsidRPr="001934E3">
        <w:rPr>
          <w:szCs w:val="24"/>
        </w:rPr>
        <w:t xml:space="preserve">) and explaining </w:t>
      </w:r>
      <w:r w:rsidR="005C47A8">
        <w:rPr>
          <w:szCs w:val="24"/>
        </w:rPr>
        <w:t>69.98</w:t>
      </w:r>
      <w:r w:rsidRPr="001934E3">
        <w:rPr>
          <w:szCs w:val="24"/>
        </w:rPr>
        <w:t xml:space="preserve">% of the variance. </w:t>
      </w:r>
      <w:r w:rsidR="005B75C9">
        <w:rPr>
          <w:szCs w:val="24"/>
        </w:rPr>
        <w:t xml:space="preserve">The same </w:t>
      </w:r>
      <w:r w:rsidR="005C47A8">
        <w:rPr>
          <w:szCs w:val="24"/>
        </w:rPr>
        <w:t>2</w:t>
      </w:r>
      <w:r w:rsidRPr="001934E3">
        <w:rPr>
          <w:szCs w:val="24"/>
        </w:rPr>
        <w:t xml:space="preserve">-factor solution emerged from the Nepali sample explaining </w:t>
      </w:r>
      <w:r w:rsidR="001707AE">
        <w:rPr>
          <w:szCs w:val="24"/>
        </w:rPr>
        <w:t>59.90</w:t>
      </w:r>
      <w:r w:rsidRPr="001934E3">
        <w:rPr>
          <w:szCs w:val="24"/>
        </w:rPr>
        <w:t xml:space="preserve">% of variance </w:t>
      </w:r>
      <w:r w:rsidR="003D031C">
        <w:rPr>
          <w:szCs w:val="24"/>
        </w:rPr>
        <w:t xml:space="preserve">and demonstrating good fit </w:t>
      </w:r>
      <w:r w:rsidRPr="001934E3">
        <w:rPr>
          <w:szCs w:val="24"/>
        </w:rPr>
        <w:t>(</w:t>
      </w:r>
      <w:r w:rsidR="0027635F" w:rsidRPr="006C2CB8">
        <w:rPr>
          <w:i/>
          <w:iCs/>
          <w:szCs w:val="24"/>
        </w:rPr>
        <w:t>x</w:t>
      </w:r>
      <w:r w:rsidR="0027635F" w:rsidRPr="006C2CB8">
        <w:rPr>
          <w:i/>
          <w:iCs/>
          <w:szCs w:val="24"/>
          <w:vertAlign w:val="superscript"/>
        </w:rPr>
        <w:t>2</w:t>
      </w:r>
      <w:r w:rsidRPr="001934E3">
        <w:rPr>
          <w:szCs w:val="24"/>
        </w:rPr>
        <w:t>(</w:t>
      </w:r>
      <w:r w:rsidR="00A121AF">
        <w:rPr>
          <w:szCs w:val="24"/>
        </w:rPr>
        <w:t>4</w:t>
      </w:r>
      <w:r w:rsidRPr="001934E3">
        <w:rPr>
          <w:szCs w:val="24"/>
        </w:rPr>
        <w:t>)</w:t>
      </w:r>
      <w:r w:rsidR="0027635F">
        <w:rPr>
          <w:szCs w:val="24"/>
        </w:rPr>
        <w:t xml:space="preserve"> </w:t>
      </w:r>
      <w:r w:rsidRPr="001934E3">
        <w:rPr>
          <w:szCs w:val="24"/>
        </w:rPr>
        <w:t>=</w:t>
      </w:r>
      <w:r w:rsidR="0027635F">
        <w:rPr>
          <w:szCs w:val="24"/>
        </w:rPr>
        <w:t xml:space="preserve"> </w:t>
      </w:r>
      <w:r w:rsidR="00A121AF">
        <w:rPr>
          <w:szCs w:val="24"/>
        </w:rPr>
        <w:t>4.83</w:t>
      </w:r>
      <w:r w:rsidRPr="001934E3">
        <w:rPr>
          <w:szCs w:val="24"/>
        </w:rPr>
        <w:t xml:space="preserve">, </w:t>
      </w:r>
      <w:r w:rsidRPr="0027635F">
        <w:rPr>
          <w:i/>
          <w:iCs/>
          <w:szCs w:val="24"/>
        </w:rPr>
        <w:t>p</w:t>
      </w:r>
      <w:r w:rsidR="0027635F">
        <w:rPr>
          <w:szCs w:val="24"/>
        </w:rPr>
        <w:t xml:space="preserve"> </w:t>
      </w:r>
      <w:r w:rsidRPr="001934E3">
        <w:rPr>
          <w:szCs w:val="24"/>
        </w:rPr>
        <w:t>=</w:t>
      </w:r>
      <w:r w:rsidR="0027635F">
        <w:rPr>
          <w:szCs w:val="24"/>
        </w:rPr>
        <w:t xml:space="preserve"> </w:t>
      </w:r>
      <w:r w:rsidRPr="001934E3">
        <w:rPr>
          <w:szCs w:val="24"/>
        </w:rPr>
        <w:t>.3</w:t>
      </w:r>
      <w:r w:rsidR="00A121AF">
        <w:rPr>
          <w:szCs w:val="24"/>
        </w:rPr>
        <w:t>1</w:t>
      </w:r>
      <w:r w:rsidR="00E8470A">
        <w:rPr>
          <w:szCs w:val="24"/>
        </w:rPr>
        <w:t xml:space="preserve">; </w:t>
      </w:r>
      <w:r w:rsidR="00E8470A" w:rsidRPr="001934E3">
        <w:rPr>
          <w:szCs w:val="24"/>
        </w:rPr>
        <w:t xml:space="preserve">see Table </w:t>
      </w:r>
      <w:r w:rsidR="00E8470A">
        <w:rPr>
          <w:szCs w:val="24"/>
        </w:rPr>
        <w:t>1</w:t>
      </w:r>
      <w:r w:rsidRPr="001934E3">
        <w:rPr>
          <w:szCs w:val="24"/>
        </w:rPr>
        <w:t xml:space="preserve">). </w:t>
      </w:r>
    </w:p>
    <w:p w14:paraId="2BC8F626" w14:textId="7BA37291" w:rsidR="001934E3" w:rsidRPr="001934E3" w:rsidRDefault="00A7711E" w:rsidP="001934E3">
      <w:pPr>
        <w:rPr>
          <w:szCs w:val="24"/>
        </w:rPr>
      </w:pPr>
      <w:r>
        <w:rPr>
          <w:szCs w:val="24"/>
        </w:rPr>
        <w:t xml:space="preserve">&lt;insert </w:t>
      </w:r>
      <w:r w:rsidR="0071587B">
        <w:rPr>
          <w:szCs w:val="24"/>
        </w:rPr>
        <w:t>T</w:t>
      </w:r>
      <w:r>
        <w:rPr>
          <w:szCs w:val="24"/>
        </w:rPr>
        <w:t xml:space="preserve">able 1 </w:t>
      </w:r>
      <w:r w:rsidR="0071587B">
        <w:rPr>
          <w:szCs w:val="24"/>
        </w:rPr>
        <w:t>h</w:t>
      </w:r>
      <w:r>
        <w:rPr>
          <w:szCs w:val="24"/>
        </w:rPr>
        <w:t>ere&gt;</w:t>
      </w:r>
    </w:p>
    <w:p w14:paraId="79BD32AE" w14:textId="77777777" w:rsidR="001934E3" w:rsidRPr="001934E3" w:rsidRDefault="001934E3" w:rsidP="00A4193C">
      <w:pPr>
        <w:pStyle w:val="Heading2"/>
      </w:pPr>
      <w:r w:rsidRPr="001934E3">
        <w:t>Descriptives</w:t>
      </w:r>
    </w:p>
    <w:p w14:paraId="6A4E322C" w14:textId="17DB6313" w:rsidR="001934E3" w:rsidRPr="001934E3" w:rsidRDefault="001934E3" w:rsidP="001934E3">
      <w:pPr>
        <w:rPr>
          <w:szCs w:val="24"/>
        </w:rPr>
      </w:pPr>
      <w:r w:rsidRPr="001934E3">
        <w:rPr>
          <w:szCs w:val="24"/>
        </w:rPr>
        <w:t xml:space="preserve">Table </w:t>
      </w:r>
      <w:r w:rsidR="00A7711E">
        <w:rPr>
          <w:szCs w:val="24"/>
        </w:rPr>
        <w:t>2</w:t>
      </w:r>
      <w:r w:rsidRPr="001934E3">
        <w:rPr>
          <w:szCs w:val="24"/>
        </w:rPr>
        <w:t xml:space="preserve"> shows the descriptive statistics for the </w:t>
      </w:r>
      <w:r w:rsidR="00563E4F">
        <w:rPr>
          <w:szCs w:val="24"/>
        </w:rPr>
        <w:t>6</w:t>
      </w:r>
      <w:r w:rsidR="003A4B03">
        <w:rPr>
          <w:szCs w:val="24"/>
        </w:rPr>
        <w:t xml:space="preserve"> </w:t>
      </w:r>
      <w:r w:rsidR="000268DE">
        <w:rPr>
          <w:szCs w:val="24"/>
        </w:rPr>
        <w:t>item</w:t>
      </w:r>
      <w:r w:rsidR="003A4B03">
        <w:rPr>
          <w:szCs w:val="24"/>
        </w:rPr>
        <w:t>s</w:t>
      </w:r>
      <w:r w:rsidR="000268DE">
        <w:rPr>
          <w:szCs w:val="24"/>
        </w:rPr>
        <w:t xml:space="preserve"> (herein, the Contagion-related Fear and Threat Scale [CFTS])</w:t>
      </w:r>
      <w:r w:rsidR="00B132AA">
        <w:rPr>
          <w:szCs w:val="24"/>
        </w:rPr>
        <w:t xml:space="preserve"> </w:t>
      </w:r>
      <w:r w:rsidR="003E0E7E">
        <w:rPr>
          <w:szCs w:val="24"/>
        </w:rPr>
        <w:t>total</w:t>
      </w:r>
      <w:r w:rsidR="00A050CE">
        <w:rPr>
          <w:szCs w:val="24"/>
        </w:rPr>
        <w:t>,</w:t>
      </w:r>
      <w:r w:rsidRPr="001934E3">
        <w:rPr>
          <w:szCs w:val="24"/>
        </w:rPr>
        <w:t xml:space="preserve"> Fear</w:t>
      </w:r>
      <w:r w:rsidR="00A050CE">
        <w:rPr>
          <w:szCs w:val="24"/>
        </w:rPr>
        <w:t>,</w:t>
      </w:r>
      <w:r w:rsidRPr="001934E3">
        <w:rPr>
          <w:szCs w:val="24"/>
        </w:rPr>
        <w:t xml:space="preserve"> and Threat </w:t>
      </w:r>
      <w:r w:rsidR="009144F0">
        <w:rPr>
          <w:szCs w:val="24"/>
        </w:rPr>
        <w:t xml:space="preserve">scores </w:t>
      </w:r>
      <w:r w:rsidRPr="001934E3">
        <w:rPr>
          <w:szCs w:val="24"/>
        </w:rPr>
        <w:t xml:space="preserve">in the Australian, Indian, and Nepali university student samples. </w:t>
      </w:r>
      <w:r w:rsidR="003B464F">
        <w:rPr>
          <w:szCs w:val="24"/>
        </w:rPr>
        <w:t>CFTS total scores had a</w:t>
      </w:r>
      <w:r w:rsidR="00B976BD">
        <w:rPr>
          <w:szCs w:val="24"/>
        </w:rPr>
        <w:t xml:space="preserve"> possible </w:t>
      </w:r>
      <w:r w:rsidR="003B464F">
        <w:rPr>
          <w:szCs w:val="24"/>
        </w:rPr>
        <w:t xml:space="preserve">range of 0 – 18; </w:t>
      </w:r>
      <w:r w:rsidR="006E531F">
        <w:rPr>
          <w:szCs w:val="24"/>
        </w:rPr>
        <w:t xml:space="preserve">Fear and Threat scores had a </w:t>
      </w:r>
      <w:r w:rsidR="003D114C">
        <w:rPr>
          <w:szCs w:val="24"/>
        </w:rPr>
        <w:t>possible range of 0 to 9.</w:t>
      </w:r>
    </w:p>
    <w:p w14:paraId="66345ACA" w14:textId="1E992E1C" w:rsidR="001934E3" w:rsidRPr="001934E3" w:rsidRDefault="00C62F3E" w:rsidP="001934E3">
      <w:pPr>
        <w:rPr>
          <w:szCs w:val="24"/>
        </w:rPr>
      </w:pPr>
      <w:r>
        <w:rPr>
          <w:szCs w:val="24"/>
        </w:rPr>
        <w:t>&lt;Insert Table 2 here&gt;</w:t>
      </w:r>
    </w:p>
    <w:p w14:paraId="018BDB57" w14:textId="004969BA" w:rsidR="001934E3" w:rsidRPr="001934E3" w:rsidRDefault="001934E3" w:rsidP="001934E3">
      <w:pPr>
        <w:rPr>
          <w:szCs w:val="24"/>
        </w:rPr>
      </w:pPr>
      <w:r w:rsidRPr="001934E3">
        <w:rPr>
          <w:szCs w:val="24"/>
        </w:rPr>
        <w:t xml:space="preserve">ANOVA revealed significant differences between Australian, Indian and Nepali students on CFTS </w:t>
      </w:r>
      <w:r w:rsidR="00B132AA">
        <w:rPr>
          <w:szCs w:val="24"/>
        </w:rPr>
        <w:t xml:space="preserve">total </w:t>
      </w:r>
      <w:r w:rsidRPr="00FE3F62">
        <w:rPr>
          <w:szCs w:val="24"/>
        </w:rPr>
        <w:t>(</w:t>
      </w:r>
      <w:r w:rsidRPr="00FE3F62">
        <w:rPr>
          <w:i/>
          <w:iCs/>
          <w:szCs w:val="24"/>
        </w:rPr>
        <w:t>F</w:t>
      </w:r>
      <w:r w:rsidRPr="00FE3F62">
        <w:rPr>
          <w:szCs w:val="24"/>
        </w:rPr>
        <w:t>(2, 4</w:t>
      </w:r>
      <w:r w:rsidR="006D188E" w:rsidRPr="00FE3F62">
        <w:rPr>
          <w:szCs w:val="24"/>
        </w:rPr>
        <w:t>1</w:t>
      </w:r>
      <w:r w:rsidR="00FE3F62" w:rsidRPr="00FE3F62">
        <w:rPr>
          <w:szCs w:val="24"/>
        </w:rPr>
        <w:t>1</w:t>
      </w:r>
      <w:r w:rsidRPr="00FE3F62">
        <w:rPr>
          <w:szCs w:val="24"/>
        </w:rPr>
        <w:t>)</w:t>
      </w:r>
      <w:r w:rsidR="00D8095B" w:rsidRPr="00FE3F62">
        <w:rPr>
          <w:szCs w:val="24"/>
        </w:rPr>
        <w:t xml:space="preserve"> </w:t>
      </w:r>
      <w:r w:rsidRPr="00FE3F62">
        <w:rPr>
          <w:szCs w:val="24"/>
        </w:rPr>
        <w:t>=</w:t>
      </w:r>
      <w:r w:rsidR="00D8095B" w:rsidRPr="00FE3F62">
        <w:rPr>
          <w:szCs w:val="24"/>
        </w:rPr>
        <w:t xml:space="preserve"> </w:t>
      </w:r>
      <w:r w:rsidR="00E5048D" w:rsidRPr="00FE3F62">
        <w:rPr>
          <w:szCs w:val="24"/>
        </w:rPr>
        <w:t>9.96</w:t>
      </w:r>
      <w:r w:rsidRPr="00FE3F62">
        <w:rPr>
          <w:szCs w:val="24"/>
        </w:rPr>
        <w:t xml:space="preserve">, </w:t>
      </w:r>
      <w:r w:rsidRPr="00FE3F62">
        <w:rPr>
          <w:i/>
          <w:iCs/>
          <w:szCs w:val="24"/>
        </w:rPr>
        <w:t>p</w:t>
      </w:r>
      <w:r w:rsidR="00D8095B" w:rsidRPr="00FE3F62">
        <w:rPr>
          <w:szCs w:val="24"/>
        </w:rPr>
        <w:t xml:space="preserve"> </w:t>
      </w:r>
      <w:r w:rsidRPr="00FE3F62">
        <w:rPr>
          <w:szCs w:val="24"/>
        </w:rPr>
        <w:t>&lt;</w:t>
      </w:r>
      <w:r w:rsidR="00D8095B" w:rsidRPr="00FE3F62">
        <w:rPr>
          <w:szCs w:val="24"/>
        </w:rPr>
        <w:t xml:space="preserve"> </w:t>
      </w:r>
      <w:r w:rsidRPr="00FE3F62">
        <w:rPr>
          <w:szCs w:val="24"/>
        </w:rPr>
        <w:t xml:space="preserve">.01; </w:t>
      </w:r>
      <w:r w:rsidRPr="00FE3F62">
        <w:rPr>
          <w:i/>
          <w:iCs/>
          <w:szCs w:val="24"/>
        </w:rPr>
        <w:t>ƞ</w:t>
      </w:r>
      <w:r w:rsidRPr="00FE3F62">
        <w:rPr>
          <w:szCs w:val="24"/>
          <w:vertAlign w:val="superscript"/>
        </w:rPr>
        <w:t>2</w:t>
      </w:r>
      <w:r w:rsidRPr="00FE3F62">
        <w:rPr>
          <w:szCs w:val="24"/>
        </w:rPr>
        <w:t>=.</w:t>
      </w:r>
      <w:r w:rsidR="000A26DA" w:rsidRPr="00FE3F62">
        <w:rPr>
          <w:szCs w:val="24"/>
        </w:rPr>
        <w:t>03</w:t>
      </w:r>
      <w:r w:rsidRPr="00FE3F62">
        <w:rPr>
          <w:szCs w:val="24"/>
        </w:rPr>
        <w:t>),</w:t>
      </w:r>
      <w:r w:rsidRPr="001934E3">
        <w:rPr>
          <w:szCs w:val="24"/>
        </w:rPr>
        <w:t xml:space="preserve"> Fear (</w:t>
      </w:r>
      <w:r w:rsidRPr="00D8095B">
        <w:rPr>
          <w:i/>
          <w:iCs/>
          <w:szCs w:val="24"/>
        </w:rPr>
        <w:t>F</w:t>
      </w:r>
      <w:r w:rsidRPr="001934E3">
        <w:rPr>
          <w:szCs w:val="24"/>
        </w:rPr>
        <w:t>(2, 41</w:t>
      </w:r>
      <w:r w:rsidR="00FC2AE7">
        <w:rPr>
          <w:szCs w:val="24"/>
        </w:rPr>
        <w:t>2</w:t>
      </w:r>
      <w:r w:rsidRPr="001934E3">
        <w:rPr>
          <w:szCs w:val="24"/>
        </w:rPr>
        <w:t>)</w:t>
      </w:r>
      <w:r w:rsidR="00D8095B">
        <w:rPr>
          <w:szCs w:val="24"/>
        </w:rPr>
        <w:t xml:space="preserve"> </w:t>
      </w:r>
      <w:r w:rsidRPr="001934E3">
        <w:rPr>
          <w:szCs w:val="24"/>
        </w:rPr>
        <w:t>=</w:t>
      </w:r>
      <w:r w:rsidR="00D8095B">
        <w:rPr>
          <w:szCs w:val="24"/>
        </w:rPr>
        <w:t xml:space="preserve"> </w:t>
      </w:r>
      <w:r w:rsidR="00656B2A">
        <w:rPr>
          <w:szCs w:val="24"/>
        </w:rPr>
        <w:t>8.28</w:t>
      </w:r>
      <w:r w:rsidRPr="001934E3">
        <w:rPr>
          <w:szCs w:val="24"/>
        </w:rPr>
        <w:t xml:space="preserve">, </w:t>
      </w:r>
      <w:r w:rsidRPr="00D8095B">
        <w:rPr>
          <w:i/>
          <w:iCs/>
          <w:szCs w:val="24"/>
        </w:rPr>
        <w:t>p</w:t>
      </w:r>
      <w:r w:rsidR="00D8095B">
        <w:rPr>
          <w:szCs w:val="24"/>
        </w:rPr>
        <w:t xml:space="preserve"> </w:t>
      </w:r>
      <w:r w:rsidRPr="001934E3">
        <w:rPr>
          <w:szCs w:val="24"/>
        </w:rPr>
        <w:t>&lt;</w:t>
      </w:r>
      <w:r w:rsidR="00D8095B">
        <w:rPr>
          <w:szCs w:val="24"/>
        </w:rPr>
        <w:t xml:space="preserve"> </w:t>
      </w:r>
      <w:r w:rsidRPr="001934E3">
        <w:rPr>
          <w:szCs w:val="24"/>
        </w:rPr>
        <w:t xml:space="preserve">.01; </w:t>
      </w:r>
      <w:r w:rsidRPr="00D8095B">
        <w:rPr>
          <w:i/>
          <w:iCs/>
          <w:szCs w:val="24"/>
        </w:rPr>
        <w:t>ƞ</w:t>
      </w:r>
      <w:r w:rsidRPr="00D8095B">
        <w:rPr>
          <w:i/>
          <w:iCs/>
          <w:szCs w:val="24"/>
          <w:vertAlign w:val="superscript"/>
        </w:rPr>
        <w:t>2</w:t>
      </w:r>
      <w:r w:rsidR="00D8095B">
        <w:rPr>
          <w:szCs w:val="24"/>
        </w:rPr>
        <w:t xml:space="preserve"> </w:t>
      </w:r>
      <w:r w:rsidRPr="001934E3">
        <w:rPr>
          <w:szCs w:val="24"/>
        </w:rPr>
        <w:t>=</w:t>
      </w:r>
      <w:r w:rsidR="00D8095B">
        <w:rPr>
          <w:szCs w:val="24"/>
        </w:rPr>
        <w:t xml:space="preserve"> </w:t>
      </w:r>
      <w:r w:rsidRPr="001934E3">
        <w:rPr>
          <w:szCs w:val="24"/>
        </w:rPr>
        <w:t>.0</w:t>
      </w:r>
      <w:r w:rsidR="00656B2A">
        <w:rPr>
          <w:szCs w:val="24"/>
        </w:rPr>
        <w:t>4</w:t>
      </w:r>
      <w:r w:rsidRPr="001934E3">
        <w:rPr>
          <w:szCs w:val="24"/>
        </w:rPr>
        <w:t>) and Threat (</w:t>
      </w:r>
      <w:r w:rsidRPr="00D8095B">
        <w:rPr>
          <w:i/>
          <w:iCs/>
          <w:szCs w:val="24"/>
        </w:rPr>
        <w:t>F</w:t>
      </w:r>
      <w:r w:rsidRPr="001934E3">
        <w:rPr>
          <w:szCs w:val="24"/>
        </w:rPr>
        <w:t>(2, 411)</w:t>
      </w:r>
      <w:r w:rsidR="00D8095B">
        <w:rPr>
          <w:szCs w:val="24"/>
        </w:rPr>
        <w:t xml:space="preserve"> </w:t>
      </w:r>
      <w:r w:rsidRPr="001934E3">
        <w:rPr>
          <w:szCs w:val="24"/>
        </w:rPr>
        <w:t>=</w:t>
      </w:r>
      <w:r w:rsidR="00D8095B">
        <w:rPr>
          <w:szCs w:val="24"/>
        </w:rPr>
        <w:t xml:space="preserve"> </w:t>
      </w:r>
      <w:r w:rsidR="001B43D6">
        <w:rPr>
          <w:szCs w:val="24"/>
        </w:rPr>
        <w:t>15.68</w:t>
      </w:r>
      <w:r w:rsidRPr="001934E3">
        <w:rPr>
          <w:szCs w:val="24"/>
        </w:rPr>
        <w:t xml:space="preserve">, </w:t>
      </w:r>
      <w:r w:rsidRPr="00482EED">
        <w:rPr>
          <w:i/>
          <w:iCs/>
          <w:szCs w:val="24"/>
        </w:rPr>
        <w:t>p</w:t>
      </w:r>
      <w:r w:rsidR="00482EED">
        <w:rPr>
          <w:szCs w:val="24"/>
        </w:rPr>
        <w:t xml:space="preserve"> </w:t>
      </w:r>
      <w:r w:rsidRPr="001934E3">
        <w:rPr>
          <w:szCs w:val="24"/>
        </w:rPr>
        <w:t xml:space="preserve">&lt; .001; </w:t>
      </w:r>
      <w:r w:rsidRPr="00482EED">
        <w:rPr>
          <w:i/>
          <w:iCs/>
          <w:szCs w:val="24"/>
        </w:rPr>
        <w:t>ƞ</w:t>
      </w:r>
      <w:r w:rsidRPr="00482EED">
        <w:rPr>
          <w:i/>
          <w:iCs/>
          <w:szCs w:val="24"/>
          <w:vertAlign w:val="superscript"/>
        </w:rPr>
        <w:t>2</w:t>
      </w:r>
      <w:r w:rsidRPr="001934E3">
        <w:rPr>
          <w:szCs w:val="24"/>
        </w:rPr>
        <w:t>=.0</w:t>
      </w:r>
      <w:r w:rsidR="00674A9B">
        <w:rPr>
          <w:szCs w:val="24"/>
        </w:rPr>
        <w:t>7</w:t>
      </w:r>
      <w:r w:rsidRPr="001934E3">
        <w:rPr>
          <w:szCs w:val="24"/>
        </w:rPr>
        <w:t xml:space="preserve">) scores. </w:t>
      </w:r>
    </w:p>
    <w:p w14:paraId="6D6A57EB" w14:textId="58481A71" w:rsidR="001934E3" w:rsidRPr="001934E3" w:rsidRDefault="001934E3" w:rsidP="001934E3">
      <w:pPr>
        <w:rPr>
          <w:szCs w:val="24"/>
        </w:rPr>
      </w:pPr>
      <w:r w:rsidRPr="000E0F22">
        <w:rPr>
          <w:szCs w:val="24"/>
        </w:rPr>
        <w:lastRenderedPageBreak/>
        <w:t>Post Hoc tests (Dunnett’s C) showed that Nepali students scored significantly higher than Australian and Indian students on CFTS</w:t>
      </w:r>
      <w:r w:rsidR="00372183" w:rsidRPr="000E0F22">
        <w:rPr>
          <w:szCs w:val="24"/>
        </w:rPr>
        <w:t xml:space="preserve"> </w:t>
      </w:r>
      <w:r w:rsidR="00ED5186">
        <w:rPr>
          <w:szCs w:val="24"/>
        </w:rPr>
        <w:t xml:space="preserve">total </w:t>
      </w:r>
      <w:r w:rsidR="00372183" w:rsidRPr="000E0F22">
        <w:rPr>
          <w:szCs w:val="24"/>
        </w:rPr>
        <w:t>and Threat</w:t>
      </w:r>
      <w:r w:rsidR="000E0F22" w:rsidRPr="000E0F22">
        <w:rPr>
          <w:szCs w:val="24"/>
        </w:rPr>
        <w:t xml:space="preserve"> </w:t>
      </w:r>
      <w:r w:rsidR="00ED5186">
        <w:rPr>
          <w:szCs w:val="24"/>
        </w:rPr>
        <w:t xml:space="preserve">scores </w:t>
      </w:r>
      <w:r w:rsidR="000E0F22" w:rsidRPr="000E0F22">
        <w:rPr>
          <w:szCs w:val="24"/>
        </w:rPr>
        <w:t xml:space="preserve">while </w:t>
      </w:r>
      <w:r w:rsidR="006B55E6" w:rsidRPr="000E0F22">
        <w:rPr>
          <w:szCs w:val="24"/>
        </w:rPr>
        <w:t>Nepali and Australian student</w:t>
      </w:r>
      <w:r w:rsidR="002A1D98" w:rsidRPr="000E0F22">
        <w:rPr>
          <w:szCs w:val="24"/>
        </w:rPr>
        <w:t>s scored significantly higher on Fear than Indian students</w:t>
      </w:r>
      <w:r w:rsidR="00E768C9">
        <w:rPr>
          <w:szCs w:val="24"/>
        </w:rPr>
        <w:t>.</w:t>
      </w:r>
    </w:p>
    <w:p w14:paraId="23BBBEDF" w14:textId="28F18174" w:rsidR="001934E3" w:rsidRPr="001934E3" w:rsidRDefault="001934E3" w:rsidP="001934E3">
      <w:pPr>
        <w:rPr>
          <w:szCs w:val="24"/>
        </w:rPr>
      </w:pPr>
      <w:r w:rsidRPr="001934E3">
        <w:rPr>
          <w:szCs w:val="24"/>
        </w:rPr>
        <w:t>Fear and Threat subscale scores correlated at .5</w:t>
      </w:r>
      <w:r w:rsidR="00124432">
        <w:rPr>
          <w:szCs w:val="24"/>
        </w:rPr>
        <w:t>2</w:t>
      </w:r>
      <w:r w:rsidRPr="001934E3">
        <w:rPr>
          <w:szCs w:val="24"/>
        </w:rPr>
        <w:t>, .5</w:t>
      </w:r>
      <w:r w:rsidR="00E851B8">
        <w:rPr>
          <w:szCs w:val="24"/>
        </w:rPr>
        <w:t>4</w:t>
      </w:r>
      <w:r w:rsidRPr="001934E3">
        <w:rPr>
          <w:szCs w:val="24"/>
        </w:rPr>
        <w:t>, and .55 in the Australian, Indian, and Nepali student samples, respectively.</w:t>
      </w:r>
    </w:p>
    <w:p w14:paraId="40D44C22" w14:textId="77777777" w:rsidR="001934E3" w:rsidRPr="00A050CE" w:rsidRDefault="001934E3" w:rsidP="00A050CE">
      <w:pPr>
        <w:pStyle w:val="Heading2"/>
      </w:pPr>
      <w:r w:rsidRPr="00A050CE">
        <w:t>Construct validity</w:t>
      </w:r>
    </w:p>
    <w:p w14:paraId="2B797E4F" w14:textId="47C1F11F" w:rsidR="001934E3" w:rsidRPr="001934E3" w:rsidRDefault="001934E3" w:rsidP="001934E3">
      <w:pPr>
        <w:rPr>
          <w:szCs w:val="24"/>
        </w:rPr>
      </w:pPr>
      <w:r w:rsidRPr="001934E3">
        <w:rPr>
          <w:szCs w:val="24"/>
        </w:rPr>
        <w:t>Correlations for CFTS total, Fear, and Threat scores and scores for psychological distress, wellbeing</w:t>
      </w:r>
      <w:r w:rsidR="00342304">
        <w:rPr>
          <w:szCs w:val="24"/>
        </w:rPr>
        <w:t xml:space="preserve">, and religiosity </w:t>
      </w:r>
      <w:r w:rsidRPr="001934E3">
        <w:rPr>
          <w:szCs w:val="24"/>
        </w:rPr>
        <w:t xml:space="preserve">are shown in Table </w:t>
      </w:r>
      <w:r w:rsidR="00C62F3E">
        <w:rPr>
          <w:szCs w:val="24"/>
        </w:rPr>
        <w:t>3</w:t>
      </w:r>
      <w:r w:rsidRPr="001934E3">
        <w:rPr>
          <w:szCs w:val="24"/>
        </w:rPr>
        <w:t>.</w:t>
      </w:r>
    </w:p>
    <w:p w14:paraId="0B9CB7E7" w14:textId="5DD2ED70" w:rsidR="001934E3" w:rsidRPr="001934E3" w:rsidRDefault="00C62F3E" w:rsidP="001934E3">
      <w:pPr>
        <w:rPr>
          <w:szCs w:val="24"/>
        </w:rPr>
      </w:pPr>
      <w:r>
        <w:rPr>
          <w:szCs w:val="24"/>
        </w:rPr>
        <w:t>&lt;Insert Table 3 here&gt;</w:t>
      </w:r>
    </w:p>
    <w:p w14:paraId="79AF5B5C" w14:textId="67DA11D2" w:rsidR="00C91479" w:rsidRPr="001E04E0" w:rsidRDefault="00653930" w:rsidP="001934E3">
      <w:pPr>
        <w:rPr>
          <w:szCs w:val="24"/>
        </w:rPr>
      </w:pPr>
      <w:r w:rsidRPr="001E04E0">
        <w:rPr>
          <w:szCs w:val="24"/>
        </w:rPr>
        <w:t>A</w:t>
      </w:r>
      <w:r w:rsidR="001934E3" w:rsidRPr="001E04E0">
        <w:rPr>
          <w:szCs w:val="24"/>
        </w:rPr>
        <w:t>cross all three samples, mild</w:t>
      </w:r>
      <w:r w:rsidR="00846FE4">
        <w:rPr>
          <w:szCs w:val="24"/>
        </w:rPr>
        <w:t xml:space="preserve"> to </w:t>
      </w:r>
      <w:r w:rsidR="001934E3" w:rsidRPr="001E04E0">
        <w:rPr>
          <w:szCs w:val="24"/>
        </w:rPr>
        <w:t>moderate correlations were found between the CFTS total, Fear, and Threat scores and DASS total, Depression, Anxiety, and Stress scores</w:t>
      </w:r>
      <w:r w:rsidRPr="001E04E0">
        <w:rPr>
          <w:szCs w:val="24"/>
        </w:rPr>
        <w:t xml:space="preserve"> </w:t>
      </w:r>
      <w:proofErr w:type="gramStart"/>
      <w:r w:rsidRPr="001E04E0">
        <w:rPr>
          <w:szCs w:val="24"/>
        </w:rPr>
        <w:t>with the exception of</w:t>
      </w:r>
      <w:proofErr w:type="gramEnd"/>
      <w:r w:rsidRPr="001E04E0">
        <w:rPr>
          <w:szCs w:val="24"/>
        </w:rPr>
        <w:t xml:space="preserve"> Fear and</w:t>
      </w:r>
      <w:r w:rsidR="00F4219C" w:rsidRPr="001E04E0">
        <w:rPr>
          <w:szCs w:val="24"/>
        </w:rPr>
        <w:t xml:space="preserve"> Anxiety and Fear and Stress in the Nepali sample.</w:t>
      </w:r>
      <w:r w:rsidR="00C91479" w:rsidRPr="001E04E0">
        <w:rPr>
          <w:szCs w:val="24"/>
        </w:rPr>
        <w:t xml:space="preserve"> </w:t>
      </w:r>
      <w:r w:rsidR="006E6311" w:rsidRPr="001E04E0">
        <w:rPr>
          <w:szCs w:val="24"/>
        </w:rPr>
        <w:t xml:space="preserve">Across all samples, </w:t>
      </w:r>
      <w:r w:rsidR="00C91479" w:rsidRPr="001E04E0">
        <w:rPr>
          <w:szCs w:val="24"/>
        </w:rPr>
        <w:t>Subjective Wellbeing was mild</w:t>
      </w:r>
      <w:r w:rsidR="00A527B1" w:rsidRPr="001E04E0">
        <w:rPr>
          <w:szCs w:val="24"/>
        </w:rPr>
        <w:t>l</w:t>
      </w:r>
      <w:r w:rsidR="00C91479" w:rsidRPr="001E04E0">
        <w:rPr>
          <w:szCs w:val="24"/>
        </w:rPr>
        <w:t xml:space="preserve">y to </w:t>
      </w:r>
      <w:r w:rsidR="00A527B1" w:rsidRPr="001E04E0">
        <w:rPr>
          <w:szCs w:val="24"/>
        </w:rPr>
        <w:t xml:space="preserve">moderately negatively associated with CFTS total and Threat scores. </w:t>
      </w:r>
      <w:r w:rsidR="006E6311" w:rsidRPr="001E04E0">
        <w:rPr>
          <w:szCs w:val="24"/>
        </w:rPr>
        <w:t>Subjective Wellbeing was also negatively associated with Fear in the Australian sample.</w:t>
      </w:r>
    </w:p>
    <w:p w14:paraId="5C0E89A3" w14:textId="05D20DCE" w:rsidR="001934E3" w:rsidRPr="001E04E0" w:rsidRDefault="00D163B5" w:rsidP="00D163B5">
      <w:pPr>
        <w:rPr>
          <w:szCs w:val="24"/>
        </w:rPr>
      </w:pPr>
      <w:r w:rsidRPr="001E04E0">
        <w:rPr>
          <w:szCs w:val="24"/>
        </w:rPr>
        <w:t xml:space="preserve">Across all samples, CFTS total, Fear and Threat scores were unrelated to </w:t>
      </w:r>
      <w:r w:rsidR="001E04E0" w:rsidRPr="001E04E0">
        <w:rPr>
          <w:szCs w:val="24"/>
        </w:rPr>
        <w:t xml:space="preserve">Intrinsic </w:t>
      </w:r>
      <w:r w:rsidRPr="001E04E0">
        <w:rPr>
          <w:szCs w:val="24"/>
        </w:rPr>
        <w:t>Religiosity</w:t>
      </w:r>
      <w:r w:rsidR="00E4785E">
        <w:rPr>
          <w:szCs w:val="24"/>
        </w:rPr>
        <w:t>.</w:t>
      </w:r>
    </w:p>
    <w:p w14:paraId="43FA8F58" w14:textId="75696473" w:rsidR="001934E3" w:rsidRPr="001934E3" w:rsidRDefault="00A4193C" w:rsidP="00A4193C">
      <w:pPr>
        <w:pStyle w:val="Heading1"/>
      </w:pPr>
      <w:r w:rsidRPr="001934E3">
        <w:t>Discussion</w:t>
      </w:r>
    </w:p>
    <w:p w14:paraId="7E59F1A4" w14:textId="525CD67C" w:rsidR="001934E3" w:rsidRPr="001934E3" w:rsidRDefault="001934E3" w:rsidP="001934E3">
      <w:pPr>
        <w:rPr>
          <w:szCs w:val="24"/>
        </w:rPr>
      </w:pPr>
      <w:r w:rsidRPr="001934E3">
        <w:rPr>
          <w:szCs w:val="24"/>
        </w:rPr>
        <w:t xml:space="preserve">The aim of the present study was to adapt Ho et </w:t>
      </w:r>
      <w:r w:rsidRPr="00375DE1">
        <w:rPr>
          <w:szCs w:val="24"/>
        </w:rPr>
        <w:t xml:space="preserve">al’s </w:t>
      </w:r>
      <w:r w:rsidR="009F417F" w:rsidRPr="00375DE1">
        <w:rPr>
          <w:szCs w:val="24"/>
        </w:rPr>
        <w:fldChar w:fldCharType="begin"/>
      </w:r>
      <w:r w:rsidR="003F2FC6">
        <w:rPr>
          <w:szCs w:val="24"/>
        </w:rPr>
        <w:instrText xml:space="preserve"> ADDIN ZOTERO_ITEM CSL_CITATION {"citationID":"OtCZV0vB","properties":{"formattedCitation":"(Ho et al., 2005)","plainCitation":"(Ho et al., 2005)","dontUpdate":true,"noteIndex":0},"citationItems":[{"id":361,"uris":["http://zotero.org/users/6223488/items/KIIKNZC7"],"uri":["http://zotero.org/users/6223488/items/KIIKNZC7"],"itemData":{"id":361,"type":"article-journal","container-title":"Journal of Consulting and Clinical Psychology","DOI":"10.1037/0022-006X.73.2.344","ISSN":"1939-2117, 0022-006X","issue":"2","journalAbbreviation":"Journal of Consulting and Clinical Psychology","language":"en","page":"344-349","source":"DOI.org (Crossref)","title":"Fear of Severe Acute Respiratory Syndrome (SARS) Among Health Care Workers.","URL":"http://doi.apa.org/getdoi.cfm?doi=10.1037/0022-006X.73.2.344","volume":"73","author":[{"family":"Ho","given":"Samuel M. Y."},{"family":"Kwong-Lo","given":"Rosalie S. Y."},{"family":"Mak","given":"Christine W. Y."},{"family":"Wong","given":"Joe S."}],"accessed":{"date-parts":[["2020",5,5]]},"issued":{"date-parts":[["2005",4]]}}}],"schema":"https://github.com/citation-style-language/schema/raw/master/csl-citation.json"} </w:instrText>
      </w:r>
      <w:r w:rsidR="009F417F" w:rsidRPr="00375DE1">
        <w:rPr>
          <w:szCs w:val="24"/>
        </w:rPr>
        <w:fldChar w:fldCharType="separate"/>
      </w:r>
      <w:r w:rsidR="001B2E49" w:rsidRPr="001B2E49">
        <w:rPr>
          <w:rFonts w:cs="Times New Roman"/>
        </w:rPr>
        <w:t>(2005)</w:t>
      </w:r>
      <w:r w:rsidR="009F417F" w:rsidRPr="00375DE1">
        <w:rPr>
          <w:szCs w:val="24"/>
        </w:rPr>
        <w:fldChar w:fldCharType="end"/>
      </w:r>
      <w:r w:rsidRPr="001934E3">
        <w:rPr>
          <w:szCs w:val="24"/>
        </w:rPr>
        <w:t xml:space="preserve"> SARS-related fear scale </w:t>
      </w:r>
      <w:r w:rsidR="00912DC5">
        <w:rPr>
          <w:szCs w:val="24"/>
        </w:rPr>
        <w:t xml:space="preserve">as </w:t>
      </w:r>
      <w:r w:rsidRPr="001934E3">
        <w:rPr>
          <w:szCs w:val="24"/>
        </w:rPr>
        <w:t>a brief, reliable, and valid measure of contagion-related fear for use across a range of diseases and populations</w:t>
      </w:r>
      <w:r w:rsidR="00FD6EDC">
        <w:rPr>
          <w:szCs w:val="24"/>
        </w:rPr>
        <w:t xml:space="preserve">. The adapted scale, the </w:t>
      </w:r>
      <w:r w:rsidR="005C0532">
        <w:rPr>
          <w:szCs w:val="24"/>
        </w:rPr>
        <w:t>CFTS</w:t>
      </w:r>
      <w:r w:rsidR="00FD6EDC">
        <w:rPr>
          <w:szCs w:val="24"/>
        </w:rPr>
        <w:t xml:space="preserve">, was </w:t>
      </w:r>
      <w:r w:rsidR="00321BBE">
        <w:rPr>
          <w:szCs w:val="24"/>
        </w:rPr>
        <w:t xml:space="preserve">validated among </w:t>
      </w:r>
      <w:r w:rsidRPr="001934E3">
        <w:rPr>
          <w:szCs w:val="24"/>
        </w:rPr>
        <w:t xml:space="preserve">Australian, Indian, and Nepali university students studying in Australia at the height of the </w:t>
      </w:r>
      <w:r w:rsidR="00DF2FFA">
        <w:rPr>
          <w:szCs w:val="24"/>
        </w:rPr>
        <w:t>first</w:t>
      </w:r>
      <w:r w:rsidR="00A957F5">
        <w:rPr>
          <w:szCs w:val="24"/>
        </w:rPr>
        <w:t xml:space="preserve"> wave of the </w:t>
      </w:r>
      <w:r w:rsidR="00321BBE">
        <w:rPr>
          <w:szCs w:val="24"/>
        </w:rPr>
        <w:t xml:space="preserve">COVID-19 </w:t>
      </w:r>
      <w:r w:rsidRPr="001934E3">
        <w:rPr>
          <w:szCs w:val="24"/>
        </w:rPr>
        <w:t xml:space="preserve">pandemic. </w:t>
      </w:r>
    </w:p>
    <w:p w14:paraId="5B981624" w14:textId="77777777" w:rsidR="001934E3" w:rsidRPr="001934E3" w:rsidRDefault="001934E3" w:rsidP="00A4193C">
      <w:pPr>
        <w:pStyle w:val="Heading2"/>
      </w:pPr>
      <w:r w:rsidRPr="001934E3">
        <w:t>Factor structure and internal consistency</w:t>
      </w:r>
    </w:p>
    <w:p w14:paraId="74963CC4" w14:textId="07CBCEC3" w:rsidR="001934E3" w:rsidRDefault="001934E3" w:rsidP="001934E3">
      <w:pPr>
        <w:rPr>
          <w:szCs w:val="24"/>
        </w:rPr>
      </w:pPr>
      <w:r w:rsidRPr="001934E3">
        <w:rPr>
          <w:szCs w:val="24"/>
        </w:rPr>
        <w:t xml:space="preserve">Factor analysis of the </w:t>
      </w:r>
      <w:r w:rsidR="00291B3D">
        <w:rPr>
          <w:szCs w:val="24"/>
        </w:rPr>
        <w:t>6</w:t>
      </w:r>
      <w:r w:rsidRPr="001934E3">
        <w:rPr>
          <w:szCs w:val="24"/>
        </w:rPr>
        <w:t xml:space="preserve">-item CFTS revealed </w:t>
      </w:r>
      <w:r w:rsidR="00E91F24">
        <w:rPr>
          <w:szCs w:val="24"/>
        </w:rPr>
        <w:t>the same two factors</w:t>
      </w:r>
      <w:r w:rsidR="00792997">
        <w:rPr>
          <w:szCs w:val="24"/>
        </w:rPr>
        <w:t xml:space="preserve"> originally identified by Ho et al</w:t>
      </w:r>
      <w:r w:rsidR="004F1A66">
        <w:rPr>
          <w:szCs w:val="24"/>
        </w:rPr>
        <w:t>.</w:t>
      </w:r>
      <w:r w:rsidR="00792997">
        <w:rPr>
          <w:szCs w:val="24"/>
        </w:rPr>
        <w:t xml:space="preserve"> (2005)</w:t>
      </w:r>
      <w:r w:rsidR="00E91F24">
        <w:rPr>
          <w:szCs w:val="24"/>
        </w:rPr>
        <w:t xml:space="preserve"> across all three samples</w:t>
      </w:r>
      <w:r w:rsidRPr="001934E3">
        <w:rPr>
          <w:szCs w:val="24"/>
        </w:rPr>
        <w:t xml:space="preserve">: one </w:t>
      </w:r>
      <w:r w:rsidR="00E91F24">
        <w:rPr>
          <w:szCs w:val="24"/>
        </w:rPr>
        <w:t xml:space="preserve">factor </w:t>
      </w:r>
      <w:r w:rsidRPr="001934E3">
        <w:rPr>
          <w:szCs w:val="24"/>
        </w:rPr>
        <w:t xml:space="preserve">reflecting fear of infection, and the second </w:t>
      </w:r>
      <w:r w:rsidR="00E91F24">
        <w:rPr>
          <w:szCs w:val="24"/>
        </w:rPr>
        <w:t xml:space="preserve">factor </w:t>
      </w:r>
      <w:r w:rsidRPr="001934E3">
        <w:rPr>
          <w:szCs w:val="24"/>
        </w:rPr>
        <w:t xml:space="preserve">reflecting existential threat related to the pandemic. The two </w:t>
      </w:r>
      <w:r w:rsidR="000E0E12">
        <w:rPr>
          <w:szCs w:val="24"/>
        </w:rPr>
        <w:t xml:space="preserve">factors </w:t>
      </w:r>
      <w:r w:rsidRPr="001934E3">
        <w:rPr>
          <w:szCs w:val="24"/>
        </w:rPr>
        <w:t>were moderately correlated (</w:t>
      </w:r>
      <w:r w:rsidRPr="00A050CE">
        <w:rPr>
          <w:i/>
          <w:iCs/>
          <w:szCs w:val="24"/>
        </w:rPr>
        <w:t>r</w:t>
      </w:r>
      <w:r w:rsidR="006A3FB6">
        <w:rPr>
          <w:i/>
          <w:iCs/>
          <w:szCs w:val="24"/>
        </w:rPr>
        <w:t xml:space="preserve"> </w:t>
      </w:r>
      <w:r w:rsidRPr="001934E3">
        <w:rPr>
          <w:szCs w:val="24"/>
        </w:rPr>
        <w:t>=</w:t>
      </w:r>
      <w:r w:rsidR="006A3FB6">
        <w:rPr>
          <w:szCs w:val="24"/>
        </w:rPr>
        <w:t xml:space="preserve"> </w:t>
      </w:r>
      <w:r w:rsidRPr="001934E3">
        <w:rPr>
          <w:szCs w:val="24"/>
        </w:rPr>
        <w:t>.5</w:t>
      </w:r>
      <w:r w:rsidR="00062FCD">
        <w:rPr>
          <w:szCs w:val="24"/>
        </w:rPr>
        <w:t>2</w:t>
      </w:r>
      <w:r w:rsidR="00CC120D">
        <w:rPr>
          <w:szCs w:val="24"/>
        </w:rPr>
        <w:t xml:space="preserve"> </w:t>
      </w:r>
      <w:r w:rsidRPr="001934E3">
        <w:rPr>
          <w:szCs w:val="24"/>
        </w:rPr>
        <w:t>-</w:t>
      </w:r>
      <w:r w:rsidR="00CC120D">
        <w:rPr>
          <w:szCs w:val="24"/>
        </w:rPr>
        <w:t xml:space="preserve"> </w:t>
      </w:r>
      <w:r w:rsidRPr="001934E3">
        <w:rPr>
          <w:szCs w:val="24"/>
        </w:rPr>
        <w:t>.5</w:t>
      </w:r>
      <w:r w:rsidR="00062FCD">
        <w:rPr>
          <w:szCs w:val="24"/>
        </w:rPr>
        <w:t>5</w:t>
      </w:r>
      <w:r w:rsidRPr="001934E3">
        <w:rPr>
          <w:szCs w:val="24"/>
        </w:rPr>
        <w:t xml:space="preserve">) and, along with the CFTS full scale, demonstrated </w:t>
      </w:r>
      <w:r w:rsidR="008604AD">
        <w:rPr>
          <w:szCs w:val="24"/>
        </w:rPr>
        <w:t xml:space="preserve">acceptable to </w:t>
      </w:r>
      <w:r w:rsidRPr="001934E3">
        <w:rPr>
          <w:szCs w:val="24"/>
        </w:rPr>
        <w:t>good internal consistency across the th</w:t>
      </w:r>
      <w:r w:rsidRPr="004659FE">
        <w:rPr>
          <w:szCs w:val="24"/>
        </w:rPr>
        <w:t>ree samples with Cronbach’s α ranging from .</w:t>
      </w:r>
      <w:r w:rsidR="008604AD">
        <w:rPr>
          <w:szCs w:val="24"/>
        </w:rPr>
        <w:t>62</w:t>
      </w:r>
      <w:r w:rsidR="00CC35B5">
        <w:rPr>
          <w:szCs w:val="24"/>
        </w:rPr>
        <w:t xml:space="preserve"> to </w:t>
      </w:r>
      <w:r w:rsidRPr="004659FE">
        <w:rPr>
          <w:szCs w:val="24"/>
        </w:rPr>
        <w:t>.8</w:t>
      </w:r>
      <w:r w:rsidR="008604AD">
        <w:rPr>
          <w:szCs w:val="24"/>
        </w:rPr>
        <w:t>0</w:t>
      </w:r>
      <w:r w:rsidRPr="004659FE">
        <w:rPr>
          <w:szCs w:val="24"/>
        </w:rPr>
        <w:t xml:space="preserve">. </w:t>
      </w:r>
    </w:p>
    <w:p w14:paraId="788C0C9A" w14:textId="77777777" w:rsidR="001934E3" w:rsidRPr="001934E3" w:rsidRDefault="001934E3" w:rsidP="00A4193C">
      <w:pPr>
        <w:pStyle w:val="Heading2"/>
      </w:pPr>
      <w:r w:rsidRPr="001934E3">
        <w:t>Construct validity</w:t>
      </w:r>
    </w:p>
    <w:p w14:paraId="62A2734B" w14:textId="1C97107B" w:rsidR="00CB2C62" w:rsidRDefault="001934E3" w:rsidP="001934E3">
      <w:pPr>
        <w:rPr>
          <w:szCs w:val="24"/>
        </w:rPr>
      </w:pPr>
      <w:r w:rsidRPr="001934E3">
        <w:rPr>
          <w:szCs w:val="24"/>
        </w:rPr>
        <w:t xml:space="preserve">Convergent validity </w:t>
      </w:r>
      <w:r w:rsidR="00B22A0B">
        <w:rPr>
          <w:szCs w:val="24"/>
        </w:rPr>
        <w:t xml:space="preserve">of the CFTS </w:t>
      </w:r>
      <w:r w:rsidRPr="001934E3">
        <w:rPr>
          <w:szCs w:val="24"/>
        </w:rPr>
        <w:t>was indicated by the significant mild</w:t>
      </w:r>
      <w:r w:rsidR="0017514B">
        <w:rPr>
          <w:szCs w:val="24"/>
        </w:rPr>
        <w:t xml:space="preserve"> to </w:t>
      </w:r>
      <w:r w:rsidRPr="001934E3">
        <w:rPr>
          <w:szCs w:val="24"/>
        </w:rPr>
        <w:t xml:space="preserve">moderate correlations between </w:t>
      </w:r>
      <w:r w:rsidR="00B22A0B">
        <w:rPr>
          <w:szCs w:val="24"/>
        </w:rPr>
        <w:t>CF</w:t>
      </w:r>
      <w:r w:rsidR="005A1A38">
        <w:rPr>
          <w:szCs w:val="24"/>
        </w:rPr>
        <w:t>TS</w:t>
      </w:r>
      <w:r w:rsidR="00B22A0B">
        <w:rPr>
          <w:szCs w:val="24"/>
        </w:rPr>
        <w:t xml:space="preserve"> total and Threat scores and </w:t>
      </w:r>
      <w:r w:rsidRPr="001934E3">
        <w:rPr>
          <w:szCs w:val="24"/>
        </w:rPr>
        <w:t>DASS total, Depression, Anxiety, and Stress scores across all three samples (</w:t>
      </w:r>
      <w:r w:rsidRPr="00FA348E">
        <w:rPr>
          <w:i/>
          <w:iCs/>
          <w:szCs w:val="24"/>
        </w:rPr>
        <w:t>r</w:t>
      </w:r>
      <w:r w:rsidR="006A3FB6">
        <w:rPr>
          <w:i/>
          <w:iCs/>
          <w:szCs w:val="24"/>
        </w:rPr>
        <w:t xml:space="preserve"> </w:t>
      </w:r>
      <w:r w:rsidRPr="001934E3">
        <w:rPr>
          <w:szCs w:val="24"/>
        </w:rPr>
        <w:t>=</w:t>
      </w:r>
      <w:r w:rsidR="006A3FB6">
        <w:rPr>
          <w:szCs w:val="24"/>
        </w:rPr>
        <w:t xml:space="preserve"> </w:t>
      </w:r>
      <w:r w:rsidRPr="001934E3">
        <w:rPr>
          <w:szCs w:val="24"/>
        </w:rPr>
        <w:t>.</w:t>
      </w:r>
      <w:r w:rsidR="001338A2">
        <w:rPr>
          <w:szCs w:val="24"/>
        </w:rPr>
        <w:t>27</w:t>
      </w:r>
      <w:r w:rsidRPr="001934E3">
        <w:rPr>
          <w:szCs w:val="24"/>
        </w:rPr>
        <w:t>-.</w:t>
      </w:r>
      <w:r w:rsidR="004B356A">
        <w:rPr>
          <w:szCs w:val="24"/>
        </w:rPr>
        <w:t>59</w:t>
      </w:r>
      <w:r w:rsidRPr="001934E3">
        <w:rPr>
          <w:szCs w:val="24"/>
        </w:rPr>
        <w:t xml:space="preserve">). </w:t>
      </w:r>
      <w:r w:rsidR="0080047B">
        <w:rPr>
          <w:szCs w:val="24"/>
        </w:rPr>
        <w:t xml:space="preserve">Fear scores were correlated with </w:t>
      </w:r>
      <w:r w:rsidR="0064248F">
        <w:rPr>
          <w:szCs w:val="24"/>
        </w:rPr>
        <w:t xml:space="preserve">all DASS </w:t>
      </w:r>
      <w:r w:rsidR="00EA33D3">
        <w:rPr>
          <w:szCs w:val="24"/>
        </w:rPr>
        <w:t>scale and subscale scores in the Australian sample</w:t>
      </w:r>
      <w:r w:rsidR="00A630D4">
        <w:rPr>
          <w:szCs w:val="24"/>
        </w:rPr>
        <w:t xml:space="preserve"> (</w:t>
      </w:r>
      <w:r w:rsidR="00A630D4" w:rsidRPr="00A630D4">
        <w:rPr>
          <w:i/>
          <w:iCs/>
          <w:szCs w:val="24"/>
        </w:rPr>
        <w:t>r</w:t>
      </w:r>
      <w:r w:rsidR="00A630D4">
        <w:rPr>
          <w:szCs w:val="24"/>
        </w:rPr>
        <w:t>=.</w:t>
      </w:r>
      <w:r w:rsidR="00D31D29">
        <w:rPr>
          <w:szCs w:val="24"/>
        </w:rPr>
        <w:t>20</w:t>
      </w:r>
      <w:r w:rsidR="00A630D4">
        <w:rPr>
          <w:szCs w:val="24"/>
        </w:rPr>
        <w:t>-.</w:t>
      </w:r>
      <w:r w:rsidR="00D31D29">
        <w:rPr>
          <w:szCs w:val="24"/>
        </w:rPr>
        <w:t>35</w:t>
      </w:r>
      <w:r w:rsidR="00A630D4">
        <w:rPr>
          <w:szCs w:val="24"/>
        </w:rPr>
        <w:t>)</w:t>
      </w:r>
      <w:r w:rsidR="00EA33D3">
        <w:rPr>
          <w:szCs w:val="24"/>
        </w:rPr>
        <w:t xml:space="preserve">, </w:t>
      </w:r>
      <w:r w:rsidR="00DB42C6" w:rsidRPr="001934E3">
        <w:rPr>
          <w:szCs w:val="24"/>
        </w:rPr>
        <w:t>DASS total, Anxiety, and Stress</w:t>
      </w:r>
      <w:r w:rsidR="0064248F">
        <w:rPr>
          <w:szCs w:val="24"/>
        </w:rPr>
        <w:t xml:space="preserve"> </w:t>
      </w:r>
      <w:r w:rsidR="00EA33D3">
        <w:rPr>
          <w:szCs w:val="24"/>
        </w:rPr>
        <w:t xml:space="preserve">scores </w:t>
      </w:r>
      <w:r w:rsidR="0064248F">
        <w:rPr>
          <w:szCs w:val="24"/>
        </w:rPr>
        <w:t>in the Indian sample</w:t>
      </w:r>
      <w:r w:rsidR="008C0C36">
        <w:rPr>
          <w:szCs w:val="24"/>
        </w:rPr>
        <w:t xml:space="preserve"> (</w:t>
      </w:r>
      <w:r w:rsidR="008C0C36" w:rsidRPr="00A630D4">
        <w:rPr>
          <w:i/>
          <w:iCs/>
          <w:szCs w:val="24"/>
        </w:rPr>
        <w:t>r</w:t>
      </w:r>
      <w:r w:rsidR="006A3FB6">
        <w:rPr>
          <w:i/>
          <w:iCs/>
          <w:szCs w:val="24"/>
        </w:rPr>
        <w:t xml:space="preserve"> </w:t>
      </w:r>
      <w:r w:rsidR="008C0C36">
        <w:rPr>
          <w:szCs w:val="24"/>
        </w:rPr>
        <w:t>=</w:t>
      </w:r>
      <w:r w:rsidR="006A3FB6">
        <w:rPr>
          <w:szCs w:val="24"/>
        </w:rPr>
        <w:t xml:space="preserve"> </w:t>
      </w:r>
      <w:r w:rsidR="00A630D4">
        <w:rPr>
          <w:szCs w:val="24"/>
        </w:rPr>
        <w:t>.</w:t>
      </w:r>
      <w:r w:rsidR="000E20C2">
        <w:rPr>
          <w:szCs w:val="24"/>
        </w:rPr>
        <w:t>27</w:t>
      </w:r>
      <w:r w:rsidR="00A630D4">
        <w:rPr>
          <w:szCs w:val="24"/>
        </w:rPr>
        <w:t>-.</w:t>
      </w:r>
      <w:r w:rsidR="000E20C2">
        <w:rPr>
          <w:szCs w:val="24"/>
        </w:rPr>
        <w:t>29</w:t>
      </w:r>
      <w:r w:rsidR="00A630D4">
        <w:rPr>
          <w:szCs w:val="24"/>
        </w:rPr>
        <w:t>)</w:t>
      </w:r>
      <w:r w:rsidR="00EA33D3">
        <w:rPr>
          <w:szCs w:val="24"/>
        </w:rPr>
        <w:t>,</w:t>
      </w:r>
      <w:r w:rsidR="0064248F">
        <w:rPr>
          <w:szCs w:val="24"/>
        </w:rPr>
        <w:t xml:space="preserve"> and </w:t>
      </w:r>
      <w:r w:rsidR="0064248F" w:rsidRPr="001934E3">
        <w:rPr>
          <w:szCs w:val="24"/>
        </w:rPr>
        <w:t>DASS total</w:t>
      </w:r>
      <w:r w:rsidR="00EA33D3">
        <w:rPr>
          <w:szCs w:val="24"/>
        </w:rPr>
        <w:t xml:space="preserve"> and</w:t>
      </w:r>
      <w:r w:rsidR="0064248F" w:rsidRPr="001934E3">
        <w:rPr>
          <w:szCs w:val="24"/>
        </w:rPr>
        <w:t xml:space="preserve"> Depression</w:t>
      </w:r>
      <w:r w:rsidR="0064248F">
        <w:rPr>
          <w:szCs w:val="24"/>
        </w:rPr>
        <w:t xml:space="preserve"> scores in the Nepali sample</w:t>
      </w:r>
      <w:r w:rsidR="005513E1">
        <w:rPr>
          <w:szCs w:val="24"/>
        </w:rPr>
        <w:t xml:space="preserve"> (</w:t>
      </w:r>
      <w:r w:rsidR="005513E1" w:rsidRPr="00A630D4">
        <w:rPr>
          <w:i/>
          <w:iCs/>
          <w:szCs w:val="24"/>
        </w:rPr>
        <w:t>r</w:t>
      </w:r>
      <w:r w:rsidR="006A3FB6">
        <w:rPr>
          <w:i/>
          <w:iCs/>
          <w:szCs w:val="24"/>
        </w:rPr>
        <w:t xml:space="preserve"> </w:t>
      </w:r>
      <w:r w:rsidR="005513E1">
        <w:rPr>
          <w:szCs w:val="24"/>
        </w:rPr>
        <w:t>=</w:t>
      </w:r>
      <w:r w:rsidR="006A3FB6">
        <w:rPr>
          <w:szCs w:val="24"/>
        </w:rPr>
        <w:t xml:space="preserve"> </w:t>
      </w:r>
      <w:r w:rsidR="005513E1">
        <w:rPr>
          <w:szCs w:val="24"/>
        </w:rPr>
        <w:t>.</w:t>
      </w:r>
      <w:r w:rsidR="00794BDF">
        <w:rPr>
          <w:szCs w:val="24"/>
        </w:rPr>
        <w:t>21 and .23, respectively</w:t>
      </w:r>
      <w:r w:rsidR="00E01872">
        <w:rPr>
          <w:szCs w:val="24"/>
        </w:rPr>
        <w:t>)</w:t>
      </w:r>
      <w:r w:rsidR="0064248F">
        <w:rPr>
          <w:szCs w:val="24"/>
        </w:rPr>
        <w:t>.</w:t>
      </w:r>
      <w:r w:rsidR="00497FD4">
        <w:rPr>
          <w:szCs w:val="24"/>
        </w:rPr>
        <w:t xml:space="preserve"> Where </w:t>
      </w:r>
      <w:r w:rsidR="00FB53C7">
        <w:rPr>
          <w:szCs w:val="24"/>
        </w:rPr>
        <w:t xml:space="preserve">correlations with </w:t>
      </w:r>
      <w:r w:rsidR="00497FD4">
        <w:rPr>
          <w:szCs w:val="24"/>
        </w:rPr>
        <w:t xml:space="preserve">Fear scores </w:t>
      </w:r>
      <w:r w:rsidR="00FB53C7">
        <w:rPr>
          <w:szCs w:val="24"/>
        </w:rPr>
        <w:t>were not significant, they approached significance.</w:t>
      </w:r>
    </w:p>
    <w:p w14:paraId="2FCC63C9" w14:textId="41218670" w:rsidR="001934E3" w:rsidRDefault="001934E3" w:rsidP="001934E3">
      <w:pPr>
        <w:rPr>
          <w:szCs w:val="24"/>
        </w:rPr>
      </w:pPr>
      <w:r w:rsidRPr="002613FF">
        <w:rPr>
          <w:szCs w:val="24"/>
        </w:rPr>
        <w:t xml:space="preserve">Convergent validity was further </w:t>
      </w:r>
      <w:r w:rsidR="003E2FC4">
        <w:rPr>
          <w:szCs w:val="24"/>
        </w:rPr>
        <w:t xml:space="preserve">suggested </w:t>
      </w:r>
      <w:r w:rsidRPr="002613FF">
        <w:rPr>
          <w:szCs w:val="24"/>
        </w:rPr>
        <w:t xml:space="preserve">by </w:t>
      </w:r>
      <w:r w:rsidR="00EB3D73">
        <w:rPr>
          <w:szCs w:val="24"/>
        </w:rPr>
        <w:t xml:space="preserve">mild </w:t>
      </w:r>
      <w:r w:rsidR="00836904">
        <w:rPr>
          <w:szCs w:val="24"/>
        </w:rPr>
        <w:t xml:space="preserve">to moderate </w:t>
      </w:r>
      <w:r w:rsidRPr="002613FF">
        <w:rPr>
          <w:szCs w:val="24"/>
        </w:rPr>
        <w:t>negative correlations between CFTS total and Threat scores and Subject</w:t>
      </w:r>
      <w:r w:rsidR="00FB3CC2">
        <w:rPr>
          <w:szCs w:val="24"/>
        </w:rPr>
        <w:t>ive W</w:t>
      </w:r>
      <w:r w:rsidRPr="002613FF">
        <w:rPr>
          <w:szCs w:val="24"/>
        </w:rPr>
        <w:t>ellbeing scores</w:t>
      </w:r>
      <w:r w:rsidR="00A6003C">
        <w:rPr>
          <w:szCs w:val="24"/>
        </w:rPr>
        <w:t xml:space="preserve"> across all three samples (</w:t>
      </w:r>
      <w:r w:rsidR="00A6003C" w:rsidRPr="00A630D4">
        <w:rPr>
          <w:i/>
          <w:iCs/>
          <w:szCs w:val="24"/>
        </w:rPr>
        <w:t>r</w:t>
      </w:r>
      <w:r w:rsidR="002E6D4A">
        <w:rPr>
          <w:i/>
          <w:iCs/>
          <w:szCs w:val="24"/>
        </w:rPr>
        <w:t xml:space="preserve"> </w:t>
      </w:r>
      <w:r w:rsidR="00A6003C">
        <w:rPr>
          <w:szCs w:val="24"/>
        </w:rPr>
        <w:t>=</w:t>
      </w:r>
      <w:r w:rsidR="002E6D4A">
        <w:rPr>
          <w:szCs w:val="24"/>
        </w:rPr>
        <w:t xml:space="preserve"> </w:t>
      </w:r>
      <w:r w:rsidR="00A6003C">
        <w:rPr>
          <w:szCs w:val="24"/>
        </w:rPr>
        <w:t>-</w:t>
      </w:r>
      <w:r w:rsidR="00C54098">
        <w:rPr>
          <w:szCs w:val="24"/>
        </w:rPr>
        <w:t>.</w:t>
      </w:r>
      <w:r w:rsidR="00A6003C">
        <w:rPr>
          <w:szCs w:val="24"/>
        </w:rPr>
        <w:t>22-</w:t>
      </w:r>
      <w:r w:rsidR="00C54098">
        <w:rPr>
          <w:szCs w:val="24"/>
        </w:rPr>
        <w:t xml:space="preserve"> -.48</w:t>
      </w:r>
      <w:r w:rsidR="00A6003C">
        <w:rPr>
          <w:szCs w:val="24"/>
        </w:rPr>
        <w:t>)</w:t>
      </w:r>
      <w:r w:rsidRPr="002613FF">
        <w:rPr>
          <w:szCs w:val="24"/>
        </w:rPr>
        <w:t>.</w:t>
      </w:r>
      <w:r w:rsidRPr="001934E3">
        <w:rPr>
          <w:szCs w:val="24"/>
        </w:rPr>
        <w:t xml:space="preserve"> </w:t>
      </w:r>
      <w:r w:rsidR="00E21887">
        <w:rPr>
          <w:szCs w:val="24"/>
        </w:rPr>
        <w:t xml:space="preserve">The Fear scale correlated with Subjective </w:t>
      </w:r>
      <w:r w:rsidR="0072728C">
        <w:rPr>
          <w:szCs w:val="24"/>
        </w:rPr>
        <w:t xml:space="preserve">Wellbeing </w:t>
      </w:r>
      <w:r w:rsidR="00E21887">
        <w:rPr>
          <w:szCs w:val="24"/>
        </w:rPr>
        <w:t xml:space="preserve">in the </w:t>
      </w:r>
      <w:r w:rsidR="0072728C">
        <w:rPr>
          <w:szCs w:val="24"/>
        </w:rPr>
        <w:t xml:space="preserve">Australian </w:t>
      </w:r>
      <w:r w:rsidR="00E21887">
        <w:rPr>
          <w:szCs w:val="24"/>
        </w:rPr>
        <w:t>sample but not in the India</w:t>
      </w:r>
      <w:r w:rsidR="0072728C">
        <w:rPr>
          <w:szCs w:val="24"/>
        </w:rPr>
        <w:t>n and Nepali samples.</w:t>
      </w:r>
    </w:p>
    <w:p w14:paraId="0BF28A55" w14:textId="6E112B6F" w:rsidR="00DF0835" w:rsidRDefault="0074112A" w:rsidP="001934E3">
      <w:pPr>
        <w:rPr>
          <w:szCs w:val="24"/>
        </w:rPr>
      </w:pPr>
      <w:r>
        <w:rPr>
          <w:szCs w:val="24"/>
        </w:rPr>
        <w:t>D</w:t>
      </w:r>
      <w:r w:rsidR="001934E3" w:rsidRPr="001934E3">
        <w:rPr>
          <w:szCs w:val="24"/>
        </w:rPr>
        <w:t xml:space="preserve">iscriminant validity was </w:t>
      </w:r>
      <w:r w:rsidR="00EB6140">
        <w:rPr>
          <w:szCs w:val="24"/>
        </w:rPr>
        <w:t xml:space="preserve">indicated </w:t>
      </w:r>
      <w:r w:rsidR="001934E3" w:rsidRPr="001934E3">
        <w:rPr>
          <w:szCs w:val="24"/>
        </w:rPr>
        <w:t xml:space="preserve">by the lack of association between CFTS total, Fear, and Threat scores and </w:t>
      </w:r>
      <w:r w:rsidR="00311F09">
        <w:rPr>
          <w:szCs w:val="24"/>
        </w:rPr>
        <w:t>I</w:t>
      </w:r>
      <w:r>
        <w:rPr>
          <w:szCs w:val="24"/>
        </w:rPr>
        <w:t xml:space="preserve">ntrinsic Religiosity </w:t>
      </w:r>
      <w:r w:rsidR="00F17D16">
        <w:rPr>
          <w:szCs w:val="24"/>
        </w:rPr>
        <w:t>across all three samples.</w:t>
      </w:r>
    </w:p>
    <w:p w14:paraId="755A629E" w14:textId="19343E7D" w:rsidR="00813925" w:rsidRDefault="009B6B59" w:rsidP="009B6B59">
      <w:pPr>
        <w:pStyle w:val="Heading2"/>
      </w:pPr>
      <w:r>
        <w:lastRenderedPageBreak/>
        <w:t xml:space="preserve">Fear </w:t>
      </w:r>
      <w:r w:rsidR="00B35272">
        <w:t xml:space="preserve">of Infection </w:t>
      </w:r>
      <w:r>
        <w:t xml:space="preserve">versus </w:t>
      </w:r>
      <w:r w:rsidR="00B35272">
        <w:t>Existential T</w:t>
      </w:r>
      <w:r>
        <w:t>hreat</w:t>
      </w:r>
    </w:p>
    <w:p w14:paraId="60D2017D" w14:textId="423D794C" w:rsidR="00404FAF" w:rsidRPr="001934E3" w:rsidRDefault="00F2591B" w:rsidP="001934E3">
      <w:pPr>
        <w:rPr>
          <w:szCs w:val="24"/>
        </w:rPr>
      </w:pPr>
      <w:r>
        <w:rPr>
          <w:szCs w:val="24"/>
        </w:rPr>
        <w:t>It is notable that</w:t>
      </w:r>
      <w:r w:rsidR="009275FF">
        <w:rPr>
          <w:szCs w:val="24"/>
        </w:rPr>
        <w:t xml:space="preserve">, across all samples, </w:t>
      </w:r>
      <w:r w:rsidR="00860D04">
        <w:rPr>
          <w:szCs w:val="24"/>
        </w:rPr>
        <w:t xml:space="preserve">Fear </w:t>
      </w:r>
      <w:r>
        <w:rPr>
          <w:szCs w:val="24"/>
        </w:rPr>
        <w:t xml:space="preserve">scores were higher than </w:t>
      </w:r>
      <w:r w:rsidR="00860D04">
        <w:rPr>
          <w:szCs w:val="24"/>
        </w:rPr>
        <w:t xml:space="preserve">Threat </w:t>
      </w:r>
      <w:r>
        <w:rPr>
          <w:szCs w:val="24"/>
        </w:rPr>
        <w:t xml:space="preserve">scores </w:t>
      </w:r>
      <w:r w:rsidR="009275FF">
        <w:rPr>
          <w:szCs w:val="24"/>
        </w:rPr>
        <w:t xml:space="preserve">and Threat scores were more strongly related to </w:t>
      </w:r>
      <w:r w:rsidR="00745561">
        <w:rPr>
          <w:szCs w:val="24"/>
        </w:rPr>
        <w:t xml:space="preserve">DASS-21 total and subscale scores and </w:t>
      </w:r>
      <w:r w:rsidR="009C5A04">
        <w:rPr>
          <w:szCs w:val="24"/>
        </w:rPr>
        <w:t>Subjective Wellbeing scores</w:t>
      </w:r>
      <w:r w:rsidR="00BD5DA5">
        <w:rPr>
          <w:szCs w:val="24"/>
        </w:rPr>
        <w:t xml:space="preserve"> than were Fear scores</w:t>
      </w:r>
      <w:r w:rsidR="009C5A04">
        <w:rPr>
          <w:szCs w:val="24"/>
        </w:rPr>
        <w:t>.</w:t>
      </w:r>
      <w:r>
        <w:rPr>
          <w:szCs w:val="24"/>
        </w:rPr>
        <w:t xml:space="preserve"> </w:t>
      </w:r>
      <w:r w:rsidR="00B35272">
        <w:rPr>
          <w:szCs w:val="24"/>
        </w:rPr>
        <w:t xml:space="preserve">This </w:t>
      </w:r>
      <w:r w:rsidR="00E62342">
        <w:rPr>
          <w:szCs w:val="24"/>
        </w:rPr>
        <w:t>may be explained by the nature of the two CFTS subscales</w:t>
      </w:r>
      <w:r w:rsidR="0038313A">
        <w:rPr>
          <w:szCs w:val="24"/>
        </w:rPr>
        <w:t xml:space="preserve">. </w:t>
      </w:r>
      <w:r w:rsidR="007A3933">
        <w:rPr>
          <w:szCs w:val="24"/>
        </w:rPr>
        <w:t xml:space="preserve">The object of </w:t>
      </w:r>
      <w:r w:rsidR="00E62342">
        <w:rPr>
          <w:szCs w:val="24"/>
        </w:rPr>
        <w:t xml:space="preserve">Fear of Infection </w:t>
      </w:r>
      <w:r w:rsidR="007A3933">
        <w:rPr>
          <w:szCs w:val="24"/>
        </w:rPr>
        <w:t xml:space="preserve">is </w:t>
      </w:r>
      <w:r w:rsidR="00E62342">
        <w:rPr>
          <w:szCs w:val="24"/>
        </w:rPr>
        <w:t>specific</w:t>
      </w:r>
      <w:r w:rsidR="00DC1ECA">
        <w:rPr>
          <w:szCs w:val="24"/>
        </w:rPr>
        <w:t xml:space="preserve"> and </w:t>
      </w:r>
      <w:r w:rsidR="00A4454C">
        <w:rPr>
          <w:szCs w:val="24"/>
        </w:rPr>
        <w:t xml:space="preserve">external to the self </w:t>
      </w:r>
      <w:r w:rsidR="0031414D">
        <w:rPr>
          <w:szCs w:val="24"/>
        </w:rPr>
        <w:t xml:space="preserve">(i.e., </w:t>
      </w:r>
      <w:r w:rsidR="00991052">
        <w:rPr>
          <w:szCs w:val="24"/>
        </w:rPr>
        <w:t xml:space="preserve">COVID-19 </w:t>
      </w:r>
      <w:r w:rsidR="0006314C">
        <w:rPr>
          <w:szCs w:val="24"/>
        </w:rPr>
        <w:t>infection)</w:t>
      </w:r>
      <w:r w:rsidR="00696F44">
        <w:rPr>
          <w:szCs w:val="24"/>
        </w:rPr>
        <w:t xml:space="preserve">. </w:t>
      </w:r>
      <w:r w:rsidR="00081113">
        <w:rPr>
          <w:szCs w:val="24"/>
        </w:rPr>
        <w:t>Existential Threat</w:t>
      </w:r>
      <w:r w:rsidR="00DC1ECA">
        <w:rPr>
          <w:szCs w:val="24"/>
        </w:rPr>
        <w:t xml:space="preserve">, however, </w:t>
      </w:r>
      <w:r w:rsidR="006877A4">
        <w:rPr>
          <w:szCs w:val="24"/>
        </w:rPr>
        <w:t xml:space="preserve">has no specific object, rather it </w:t>
      </w:r>
      <w:r w:rsidR="003E2350">
        <w:rPr>
          <w:szCs w:val="24"/>
        </w:rPr>
        <w:t>is a</w:t>
      </w:r>
      <w:r w:rsidR="00741A53">
        <w:rPr>
          <w:szCs w:val="24"/>
        </w:rPr>
        <w:t>n unanchored and</w:t>
      </w:r>
      <w:r w:rsidR="003E2350">
        <w:rPr>
          <w:szCs w:val="24"/>
        </w:rPr>
        <w:t xml:space="preserve"> subjective experience of threat to one’s own existence</w:t>
      </w:r>
      <w:r w:rsidR="00330F82">
        <w:rPr>
          <w:szCs w:val="24"/>
        </w:rPr>
        <w:t>, albeit triggered</w:t>
      </w:r>
      <w:r w:rsidR="00991052">
        <w:rPr>
          <w:szCs w:val="24"/>
        </w:rPr>
        <w:t>, in this case, by the COVID-19 pandemic</w:t>
      </w:r>
      <w:r w:rsidR="003E2350">
        <w:rPr>
          <w:szCs w:val="24"/>
        </w:rPr>
        <w:t>.</w:t>
      </w:r>
      <w:r w:rsidR="006644AA">
        <w:rPr>
          <w:szCs w:val="24"/>
        </w:rPr>
        <w:t xml:space="preserve"> </w:t>
      </w:r>
      <w:r w:rsidR="00C3470C">
        <w:rPr>
          <w:szCs w:val="24"/>
        </w:rPr>
        <w:t xml:space="preserve">The moderate relationship between </w:t>
      </w:r>
      <w:r w:rsidR="00FC510B">
        <w:rPr>
          <w:szCs w:val="24"/>
        </w:rPr>
        <w:t>T</w:t>
      </w:r>
      <w:r w:rsidR="00C3470C">
        <w:rPr>
          <w:szCs w:val="24"/>
        </w:rPr>
        <w:t xml:space="preserve">hreat and DASS total, Depression, Anxiety and Stress scores </w:t>
      </w:r>
      <w:r w:rsidR="00263798">
        <w:rPr>
          <w:szCs w:val="24"/>
        </w:rPr>
        <w:t xml:space="preserve">can be understood as capturing the </w:t>
      </w:r>
      <w:r w:rsidR="000E65C1">
        <w:rPr>
          <w:szCs w:val="24"/>
        </w:rPr>
        <w:t xml:space="preserve">subjective and non-specific character of these </w:t>
      </w:r>
      <w:r w:rsidR="00D26FF7">
        <w:rPr>
          <w:szCs w:val="24"/>
        </w:rPr>
        <w:t xml:space="preserve">constructs </w:t>
      </w:r>
      <w:r w:rsidR="0026232F">
        <w:rPr>
          <w:szCs w:val="24"/>
        </w:rPr>
        <w:fldChar w:fldCharType="begin"/>
      </w:r>
      <w:r w:rsidR="0026232F">
        <w:rPr>
          <w:szCs w:val="24"/>
        </w:rPr>
        <w:instrText xml:space="preserve"> ADDIN ZOTERO_ITEM CSL_CITATION {"citationID":"Ya3oqBVN","properties":{"formattedCitation":"(Lovibond &amp; Lovibond, 1996)","plainCitation":"(Lovibond &amp; Lovibond, 1996)","noteIndex":0},"citationItems":[{"id":563,"uris":["http://zotero.org/users/6223488/items/E9RRNGFB"],"uri":["http://zotero.org/users/6223488/items/E9RRNGFB"],"itemData":{"id":563,"type":"article","language":"English","publisher":"The Psychology Foundation of Australia Inc.","title":"Manual for the Depression, Anxiety, Stress Scales.","title-short":"Manual for the Depression Anxiety Stress Scales","URL":"http://www2.psy.unsw.edu.au/dass//","author":[{"family":"Lovibond","given":"Sydney H"},{"family":"Lovibond","given":"Peter F"}],"issued":{"date-parts":[["1996"]]}}}],"schema":"https://github.com/citation-style-language/schema/raw/master/csl-citation.json"} </w:instrText>
      </w:r>
      <w:r w:rsidR="0026232F">
        <w:rPr>
          <w:szCs w:val="24"/>
        </w:rPr>
        <w:fldChar w:fldCharType="separate"/>
      </w:r>
      <w:r w:rsidR="0026232F" w:rsidRPr="0026232F">
        <w:rPr>
          <w:rFonts w:cs="Times New Roman"/>
        </w:rPr>
        <w:t>(Lovibond &amp; Lovibond, 1996)</w:t>
      </w:r>
      <w:r w:rsidR="0026232F">
        <w:rPr>
          <w:szCs w:val="24"/>
        </w:rPr>
        <w:fldChar w:fldCharType="end"/>
      </w:r>
      <w:r w:rsidR="000E758A">
        <w:rPr>
          <w:szCs w:val="24"/>
        </w:rPr>
        <w:t xml:space="preserve">. Similarly, Subjective Wellbeing </w:t>
      </w:r>
      <w:r w:rsidR="00D11B63">
        <w:rPr>
          <w:szCs w:val="24"/>
        </w:rPr>
        <w:t xml:space="preserve">represents </w:t>
      </w:r>
      <w:r w:rsidR="003E5FC4">
        <w:rPr>
          <w:szCs w:val="24"/>
        </w:rPr>
        <w:t xml:space="preserve">satisfaction with a range of </w:t>
      </w:r>
      <w:r w:rsidR="00962345">
        <w:rPr>
          <w:szCs w:val="24"/>
        </w:rPr>
        <w:t xml:space="preserve">life </w:t>
      </w:r>
      <w:r w:rsidR="003E5FC4">
        <w:rPr>
          <w:szCs w:val="24"/>
        </w:rPr>
        <w:t xml:space="preserve">domains rather than a specific domain such as Standard of Living or </w:t>
      </w:r>
      <w:r w:rsidR="00962345">
        <w:rPr>
          <w:szCs w:val="24"/>
        </w:rPr>
        <w:t>Personal Health.</w:t>
      </w:r>
    </w:p>
    <w:p w14:paraId="5008F83E" w14:textId="77777777" w:rsidR="001934E3" w:rsidRPr="001934E3" w:rsidRDefault="001934E3" w:rsidP="00CE36E3">
      <w:pPr>
        <w:pStyle w:val="Heading2"/>
      </w:pPr>
      <w:r w:rsidRPr="001934E3">
        <w:t>Limitations and future research</w:t>
      </w:r>
    </w:p>
    <w:p w14:paraId="03283F5D" w14:textId="360B96F2" w:rsidR="001934E3" w:rsidRDefault="00E47D1F" w:rsidP="001934E3">
      <w:pPr>
        <w:rPr>
          <w:szCs w:val="24"/>
        </w:rPr>
      </w:pPr>
      <w:r>
        <w:rPr>
          <w:szCs w:val="24"/>
        </w:rPr>
        <w:t>As all partic</w:t>
      </w:r>
      <w:r w:rsidR="006A08A0">
        <w:rPr>
          <w:szCs w:val="24"/>
        </w:rPr>
        <w:t>i</w:t>
      </w:r>
      <w:r>
        <w:rPr>
          <w:szCs w:val="24"/>
        </w:rPr>
        <w:t xml:space="preserve">pants were studying in Australia at the time of data collection, </w:t>
      </w:r>
      <w:r w:rsidR="006A08A0">
        <w:rPr>
          <w:szCs w:val="24"/>
        </w:rPr>
        <w:t>f</w:t>
      </w:r>
      <w:r w:rsidR="001934E3" w:rsidRPr="001934E3">
        <w:rPr>
          <w:szCs w:val="24"/>
        </w:rPr>
        <w:t xml:space="preserve">eatures specific to the Australian experience of this first wave of COVID-19 are likely to have moderated CFTS full, Fear, and Threat scores. </w:t>
      </w:r>
      <w:r w:rsidR="004640FE">
        <w:rPr>
          <w:szCs w:val="24"/>
        </w:rPr>
        <w:t>At the time</w:t>
      </w:r>
      <w:r w:rsidR="001934E3" w:rsidRPr="001934E3">
        <w:rPr>
          <w:szCs w:val="24"/>
        </w:rPr>
        <w:t xml:space="preserve">, restrictions were swiftly implemented, actively enforced, and broadly </w:t>
      </w:r>
      <w:r w:rsidR="001934E3" w:rsidRPr="00AD2FAB">
        <w:rPr>
          <w:szCs w:val="24"/>
        </w:rPr>
        <w:t>adhered to</w:t>
      </w:r>
      <w:r w:rsidR="007E1AF3">
        <w:rPr>
          <w:szCs w:val="24"/>
        </w:rPr>
        <w:t xml:space="preserve"> in Australia </w:t>
      </w:r>
      <w:r w:rsidR="0091298A" w:rsidRPr="00402D2C">
        <w:rPr>
          <w:szCs w:val="24"/>
        </w:rPr>
        <w:fldChar w:fldCharType="begin"/>
      </w:r>
      <w:r w:rsidR="0091298A" w:rsidRPr="00402D2C">
        <w:rPr>
          <w:szCs w:val="24"/>
        </w:rPr>
        <w:instrText xml:space="preserve"> ADDIN ZOTERO_ITEM CSL_CITATION {"citationID":"LCd3JNJB","properties":{"formattedCitation":"(Australian Government, 2020)","plainCitation":"(Australian Government, 2020)","noteIndex":0},"citationItems":[{"id":586,"uris":["http://zotero.org/users/6223488/items/YPAMSEPY"],"uri":["http://zotero.org/users/6223488/items/YPAMSEPY"],"itemData":{"id":586,"type":"webpage","abstract":"The official Australian Government response website to provide support and updates to Australians on the Coronavirus pandemic.","container-title":"Australia","language":"en-US","note":"source: www.australia.gov.au","title":"Coronavirus (COVID-19) - Official Australian Government information","URL":"https://www.australia.gov.au/","author":[{"family":"Australian Government","given":""}],"accessed":{"date-parts":[["2020",7,6]]},"issued":{"date-parts":[["2020"]]}}}],"schema":"https://github.com/citation-style-language/schema/raw/master/csl-citation.json"} </w:instrText>
      </w:r>
      <w:r w:rsidR="0091298A" w:rsidRPr="00402D2C">
        <w:rPr>
          <w:szCs w:val="24"/>
        </w:rPr>
        <w:fldChar w:fldCharType="separate"/>
      </w:r>
      <w:r w:rsidR="0091298A" w:rsidRPr="00402D2C">
        <w:rPr>
          <w:rFonts w:cs="Times New Roman"/>
        </w:rPr>
        <w:t>(Australian Government, 2020)</w:t>
      </w:r>
      <w:r w:rsidR="0091298A" w:rsidRPr="00402D2C">
        <w:rPr>
          <w:szCs w:val="24"/>
        </w:rPr>
        <w:fldChar w:fldCharType="end"/>
      </w:r>
      <w:r w:rsidR="001934E3" w:rsidRPr="00402D2C">
        <w:rPr>
          <w:szCs w:val="24"/>
        </w:rPr>
        <w:t xml:space="preserve">. </w:t>
      </w:r>
      <w:r w:rsidR="00B41E53">
        <w:rPr>
          <w:szCs w:val="24"/>
        </w:rPr>
        <w:t xml:space="preserve">Furthermore, </w:t>
      </w:r>
      <w:r w:rsidR="001934E3" w:rsidRPr="00402D2C">
        <w:rPr>
          <w:szCs w:val="24"/>
        </w:rPr>
        <w:t xml:space="preserve">Australian infection rates </w:t>
      </w:r>
      <w:r w:rsidR="00B41E53">
        <w:rPr>
          <w:szCs w:val="24"/>
        </w:rPr>
        <w:t xml:space="preserve">were </w:t>
      </w:r>
      <w:r w:rsidR="001934E3" w:rsidRPr="00402D2C">
        <w:rPr>
          <w:szCs w:val="24"/>
        </w:rPr>
        <w:t xml:space="preserve">low by global standards, all </w:t>
      </w:r>
      <w:r w:rsidR="00B41E53">
        <w:rPr>
          <w:szCs w:val="24"/>
        </w:rPr>
        <w:t xml:space="preserve">participants had </w:t>
      </w:r>
      <w:r w:rsidR="001934E3" w:rsidRPr="00402D2C">
        <w:rPr>
          <w:szCs w:val="24"/>
        </w:rPr>
        <w:t xml:space="preserve">access to </w:t>
      </w:r>
      <w:r w:rsidR="00D906A3">
        <w:rPr>
          <w:szCs w:val="24"/>
        </w:rPr>
        <w:t>socialised</w:t>
      </w:r>
      <w:r w:rsidR="001934E3" w:rsidRPr="00402D2C">
        <w:rPr>
          <w:szCs w:val="24"/>
        </w:rPr>
        <w:t xml:space="preserve">, high-quality healthcare, and the capacity of health system was </w:t>
      </w:r>
      <w:r w:rsidR="00D906A3">
        <w:rPr>
          <w:szCs w:val="24"/>
        </w:rPr>
        <w:t xml:space="preserve">not </w:t>
      </w:r>
      <w:r w:rsidR="001934E3" w:rsidRPr="00402D2C">
        <w:rPr>
          <w:szCs w:val="24"/>
        </w:rPr>
        <w:t xml:space="preserve">at risk </w:t>
      </w:r>
      <w:r w:rsidR="00D906A3">
        <w:rPr>
          <w:szCs w:val="24"/>
        </w:rPr>
        <w:t xml:space="preserve">of being overwhelmed </w:t>
      </w:r>
      <w:r w:rsidR="00AD2FAB" w:rsidRPr="00402D2C">
        <w:rPr>
          <w:szCs w:val="24"/>
        </w:rPr>
        <w:fldChar w:fldCharType="begin"/>
      </w:r>
      <w:r w:rsidR="0091298A" w:rsidRPr="00402D2C">
        <w:rPr>
          <w:szCs w:val="24"/>
        </w:rPr>
        <w:instrText xml:space="preserve"> ADDIN ZOTERO_ITEM CSL_CITATION {"citationID":"vEYusU1D","properties":{"formattedCitation":"(Australian Government, 2020)","plainCitation":"(Australian Government, 2020)","noteIndex":0},"citationItems":[{"id":586,"uris":["http://zotero.org/users/6223488/items/YPAMSEPY"],"uri":["http://zotero.org/users/6223488/items/YPAMSEPY"],"itemData":{"id":586,"type":"webpage","abstract":"The official Australian Government response website to provide support and updates to Australians on the Coronavirus pandemic.","container-title":"Australia","language":"en-US","note":"source: www.australia.gov.au","title":"Coronavirus (COVID-19) - Official Australian Government information","URL":"https://www.australia.gov.au/","author":[{"family":"Australian Government","given":""}],"accessed":{"date-parts":[["2020",7,6]]},"issued":{"date-parts":[["2020"]]}}}],"schema":"https://github.com/citation-style-language/schema/raw/master/csl-citation.json"} </w:instrText>
      </w:r>
      <w:r w:rsidR="00AD2FAB" w:rsidRPr="00402D2C">
        <w:rPr>
          <w:szCs w:val="24"/>
        </w:rPr>
        <w:fldChar w:fldCharType="separate"/>
      </w:r>
      <w:r w:rsidR="0091298A" w:rsidRPr="00402D2C">
        <w:rPr>
          <w:rFonts w:cs="Times New Roman"/>
        </w:rPr>
        <w:t>(Australian Government, 2020)</w:t>
      </w:r>
      <w:r w:rsidR="00AD2FAB" w:rsidRPr="00402D2C">
        <w:rPr>
          <w:szCs w:val="24"/>
        </w:rPr>
        <w:fldChar w:fldCharType="end"/>
      </w:r>
      <w:r w:rsidR="001934E3" w:rsidRPr="00402D2C">
        <w:rPr>
          <w:szCs w:val="24"/>
        </w:rPr>
        <w:t>.</w:t>
      </w:r>
      <w:r w:rsidR="001934E3" w:rsidRPr="001934E3">
        <w:rPr>
          <w:szCs w:val="24"/>
        </w:rPr>
        <w:t xml:space="preserve"> </w:t>
      </w:r>
    </w:p>
    <w:p w14:paraId="3A138849" w14:textId="1BA15DF1" w:rsidR="001934E3" w:rsidRDefault="001934E3" w:rsidP="001934E3">
      <w:pPr>
        <w:rPr>
          <w:szCs w:val="24"/>
        </w:rPr>
      </w:pPr>
      <w:r w:rsidRPr="001934E3">
        <w:rPr>
          <w:szCs w:val="24"/>
        </w:rPr>
        <w:t>Futhermore, data were collected around six weeks after Australia’s first wave peak of daily cases, when new infections were typically in the single digits. At that time, COVID-19 hadn’t taken a hold in India and Nepal which were still weeks away from</w:t>
      </w:r>
      <w:r w:rsidR="00A07452">
        <w:rPr>
          <w:szCs w:val="24"/>
        </w:rPr>
        <w:t xml:space="preserve"> their first wave</w:t>
      </w:r>
      <w:r w:rsidRPr="001934E3">
        <w:rPr>
          <w:szCs w:val="24"/>
        </w:rPr>
        <w:t xml:space="preserve"> peak </w:t>
      </w:r>
      <w:r w:rsidR="005D4B47">
        <w:rPr>
          <w:szCs w:val="24"/>
        </w:rPr>
        <w:t xml:space="preserve">of </w:t>
      </w:r>
      <w:r w:rsidRPr="001934E3">
        <w:rPr>
          <w:szCs w:val="24"/>
        </w:rPr>
        <w:t xml:space="preserve">daily infections </w:t>
      </w:r>
      <w:r w:rsidR="0056000F">
        <w:rPr>
          <w:szCs w:val="24"/>
        </w:rPr>
        <w:fldChar w:fldCharType="begin"/>
      </w:r>
      <w:r w:rsidR="0056000F">
        <w:rPr>
          <w:szCs w:val="24"/>
        </w:rPr>
        <w:instrText xml:space="preserve"> ADDIN ZOTERO_ITEM CSL_CITATION {"citationID":"KqX4bQhr","properties":{"formattedCitation":"(Roser et al., 2020)","plainCitation":"(Roser et al., 2020)","noteIndex":0},"citationItems":[{"id":567,"uris":["http://zotero.org/users/6223488/items/7VWET779"],"uri":["http://zotero.org/users/6223488/items/7VWET779"],"itemData":{"id":567,"type":"webpage","container-title":"OurWorldInData.org","title":"Coronavirus Pandemic (COVID-19)","URL":"https://ourworldindata.org/coronavirus","author":[{"family":"Roser","given":"Max"},{"family":"Ritchie","given":"Hannah"},{"family":"Ortiz-Ospina","given":"Esteban"},{"family":"Hasell","given":"Joe"}],"issued":{"date-parts":[["2020"]]}}}],"schema":"https://github.com/citation-style-language/schema/raw/master/csl-citation.json"} </w:instrText>
      </w:r>
      <w:r w:rsidR="0056000F">
        <w:rPr>
          <w:szCs w:val="24"/>
        </w:rPr>
        <w:fldChar w:fldCharType="separate"/>
      </w:r>
      <w:r w:rsidR="001B2E49" w:rsidRPr="001B2E49">
        <w:rPr>
          <w:rFonts w:cs="Times New Roman"/>
        </w:rPr>
        <w:t>(Roser et al., 2020)</w:t>
      </w:r>
      <w:r w:rsidR="0056000F">
        <w:rPr>
          <w:szCs w:val="24"/>
        </w:rPr>
        <w:fldChar w:fldCharType="end"/>
      </w:r>
      <w:r w:rsidRPr="001934E3">
        <w:rPr>
          <w:szCs w:val="24"/>
        </w:rPr>
        <w:t xml:space="preserve">. So, while COVID-19 was </w:t>
      </w:r>
      <w:r w:rsidR="00CF0B7D" w:rsidRPr="001934E3">
        <w:rPr>
          <w:szCs w:val="24"/>
        </w:rPr>
        <w:t>recognized</w:t>
      </w:r>
      <w:r w:rsidR="00C44A5D">
        <w:rPr>
          <w:szCs w:val="24"/>
        </w:rPr>
        <w:t xml:space="preserve"> </w:t>
      </w:r>
      <w:r w:rsidR="008E26F0">
        <w:rPr>
          <w:szCs w:val="24"/>
        </w:rPr>
        <w:fldChar w:fldCharType="begin"/>
      </w:r>
      <w:r w:rsidR="008E26F0">
        <w:rPr>
          <w:szCs w:val="24"/>
        </w:rPr>
        <w:instrText xml:space="preserve"> ADDIN ZOTERO_ITEM CSL_CITATION {"citationID":"m06KnDX4","properties":{"formattedCitation":"(Ho et al., 2005)","plainCitation":"(Ho et al., 2005)","noteIndex":0},"citationItems":[{"id":361,"uris":["http://zotero.org/users/6223488/items/KIIKNZC7"],"uri":["http://zotero.org/users/6223488/items/KIIKNZC7"],"itemData":{"id":361,"type":"article-journal","container-title":"Journal of Consulting and Clinical Psychology","DOI":"10.1037/0022-006X.73.2.344","ISSN":"1939-2117, 0022-006X","issue":"2","journalAbbreviation":"Journal of Consulting and Clinical Psychology","language":"en","page":"344-349","source":"DOI.org (Crossref)","title":"Fear of Severe Acute Respiratory Syndrome (SARS) Among Health Care Workers.","URL":"http://doi.apa.org/getdoi.cfm?doi=10.1037/0022-006X.73.2.344","volume":"73","author":[{"family":"Ho","given":"Samuel M. Y."},{"family":"Kwong-Lo","given":"Rosalie S. Y."},{"family":"Mak","given":"Christine W. Y."},{"family":"Wong","given":"Joe S."}],"accessed":{"date-parts":[["2020",5,5]]},"issued":{"date-parts":[["2005",4]]}}}],"schema":"https://github.com/citation-style-language/schema/raw/master/csl-citation.json"} </w:instrText>
      </w:r>
      <w:r w:rsidR="008E26F0">
        <w:rPr>
          <w:szCs w:val="24"/>
        </w:rPr>
        <w:fldChar w:fldCharType="separate"/>
      </w:r>
      <w:r w:rsidR="001B2E49" w:rsidRPr="001B2E49">
        <w:rPr>
          <w:rFonts w:cs="Times New Roman"/>
        </w:rPr>
        <w:t>(Ho et al., 2005)</w:t>
      </w:r>
      <w:r w:rsidR="008E26F0">
        <w:rPr>
          <w:szCs w:val="24"/>
        </w:rPr>
        <w:fldChar w:fldCharType="end"/>
      </w:r>
      <w:r w:rsidRPr="001934E3">
        <w:rPr>
          <w:szCs w:val="24"/>
        </w:rPr>
        <w:t xml:space="preserve"> as a significant threat in Europe and the Americas during May and June 2020, the threat was objectively less for Australian, Indian and Nepali students in Australia</w:t>
      </w:r>
      <w:r w:rsidR="005D4B47">
        <w:rPr>
          <w:szCs w:val="24"/>
        </w:rPr>
        <w:t xml:space="preserve"> and their families in India and Nepal</w:t>
      </w:r>
      <w:r w:rsidRPr="001934E3">
        <w:rPr>
          <w:szCs w:val="24"/>
        </w:rPr>
        <w:t>.</w:t>
      </w:r>
    </w:p>
    <w:p w14:paraId="1A602686" w14:textId="530F3ABC" w:rsidR="001934E3" w:rsidRPr="003B1750" w:rsidRDefault="001934E3" w:rsidP="001934E3">
      <w:pPr>
        <w:rPr>
          <w:szCs w:val="24"/>
        </w:rPr>
      </w:pPr>
      <w:r w:rsidRPr="001934E3">
        <w:rPr>
          <w:szCs w:val="24"/>
        </w:rPr>
        <w:t>Finally, the age of participants may also have affected CFTS full, Fear, and Threat scores. In Australia, although people in their 20s (90% of the current sample) are more likely to contract the disease, people over the age of 70 are far more likely to die from the disease. Compared to older age group</w:t>
      </w:r>
      <w:r w:rsidRPr="003B1750">
        <w:rPr>
          <w:szCs w:val="24"/>
        </w:rPr>
        <w:t xml:space="preserve">s, the present sample may not have perceived COVID-19 to be life-threatening </w:t>
      </w:r>
      <w:r w:rsidR="00DD0769" w:rsidRPr="00EB4321">
        <w:rPr>
          <w:szCs w:val="24"/>
        </w:rPr>
        <w:fldChar w:fldCharType="begin"/>
      </w:r>
      <w:r w:rsidR="00EB4321" w:rsidRPr="00EB4321">
        <w:rPr>
          <w:szCs w:val="24"/>
        </w:rPr>
        <w:instrText xml:space="preserve"> ADDIN ZOTERO_ITEM CSL_CITATION {"citationID":"Tr55cPs2","properties":{"formattedCitation":"(covid19data.com.au, 2020; Ting et al., 2020)","plainCitation":"(covid19data.com.au, 2020; Ting et al., 2020)","noteIndex":0},"citationItems":[{"id":569,"uris":["http://zotero.org/users/6223488/items/2T9JPTTY"],"uri":["http://zotero.org/users/6223488/items/2T9JPTTY"],"itemData":{"id":569,"type":"webpage","container-title":"Coronavirus (COVID-19) in Australia","title":"Coronavirus (COVID-19) in Australia","URL":"https://www.covid19data.com.au/","author":[{"family":"covid19data.com.au","given":""}],"issued":{"date-parts":[["2020"]]}}},{"id":568,"uris":["http://zotero.org/users/6223488/items/T3AD9SEX"],"uri":["http://zotero.org/users/6223488/items/T3AD9SEX"],"itemData":{"id":568,"type":"webpage","container-title":"ABC News","title":"Charting the COVID-19 spread in Australia","URL":"https://www.abc.net.au/news/2020-03-17/coronavirus-cases-data-reveals-how-covid-19-spreads-in-australia/12060704?nw=0","author":[{"family":"Ting","given":"Inga"},{"family":"Scott","given":"Nathanael"},{"family":"Workman","given":"Michael"}],"issued":{"date-parts":[["2020"]]}}}],"schema":"https://github.com/citation-style-language/schema/raw/master/csl-citation.json"} </w:instrText>
      </w:r>
      <w:r w:rsidR="00DD0769" w:rsidRPr="00EB4321">
        <w:rPr>
          <w:szCs w:val="24"/>
        </w:rPr>
        <w:fldChar w:fldCharType="separate"/>
      </w:r>
      <w:r w:rsidR="00EB4321" w:rsidRPr="00EB4321">
        <w:rPr>
          <w:rFonts w:cs="Times New Roman"/>
        </w:rPr>
        <w:t>(covid19data.com.au, 2020; Ting et al., 2020)</w:t>
      </w:r>
      <w:r w:rsidR="00DD0769" w:rsidRPr="00EB4321">
        <w:rPr>
          <w:szCs w:val="24"/>
        </w:rPr>
        <w:fldChar w:fldCharType="end"/>
      </w:r>
      <w:r w:rsidRPr="00EB4321">
        <w:rPr>
          <w:szCs w:val="24"/>
        </w:rPr>
        <w:t>.</w:t>
      </w:r>
      <w:r w:rsidRPr="003B1750">
        <w:rPr>
          <w:szCs w:val="24"/>
        </w:rPr>
        <w:t xml:space="preserve"> </w:t>
      </w:r>
    </w:p>
    <w:p w14:paraId="75B2B087" w14:textId="421EB0F1" w:rsidR="001934E3" w:rsidRPr="001934E3" w:rsidRDefault="001934E3" w:rsidP="001934E3">
      <w:pPr>
        <w:rPr>
          <w:szCs w:val="24"/>
        </w:rPr>
      </w:pPr>
      <w:r w:rsidRPr="003B1750">
        <w:rPr>
          <w:szCs w:val="24"/>
        </w:rPr>
        <w:t>The C</w:t>
      </w:r>
      <w:r w:rsidRPr="001934E3">
        <w:rPr>
          <w:szCs w:val="24"/>
        </w:rPr>
        <w:t>FTS should be administered to people from a range of age groups and countries at different stages in the pandemic to determine its psychometric performance across the lifespan</w:t>
      </w:r>
      <w:r w:rsidR="008F43AD">
        <w:rPr>
          <w:szCs w:val="24"/>
        </w:rPr>
        <w:t xml:space="preserve"> and across pandemic waves</w:t>
      </w:r>
      <w:r w:rsidRPr="001934E3">
        <w:rPr>
          <w:szCs w:val="24"/>
        </w:rPr>
        <w:t>. Translation of the measure is encouraged to broaden its utility and use.</w:t>
      </w:r>
    </w:p>
    <w:p w14:paraId="632B20AE" w14:textId="77777777" w:rsidR="001934E3" w:rsidRPr="001934E3" w:rsidRDefault="001934E3" w:rsidP="00CE36E3">
      <w:pPr>
        <w:pStyle w:val="Heading2"/>
      </w:pPr>
      <w:r w:rsidRPr="001934E3">
        <w:t>Conclusion</w:t>
      </w:r>
    </w:p>
    <w:p w14:paraId="4138FEF0" w14:textId="7AB71746" w:rsidR="00404E15" w:rsidRDefault="001934E3" w:rsidP="001934E3">
      <w:pPr>
        <w:rPr>
          <w:szCs w:val="24"/>
        </w:rPr>
      </w:pPr>
      <w:r w:rsidRPr="001934E3">
        <w:rPr>
          <w:szCs w:val="24"/>
        </w:rPr>
        <w:t>Future pandemics are inevitable and the impact on psychological wellbeing variable depending on geographic location, age, local policy, and other sociocultural variables. The CFTS represents a brief, reliable, and valid measure of contagion-related fear and threat suitable across a range of diseases and populations. Knowledge</w:t>
      </w:r>
      <w:r w:rsidR="00EC1529">
        <w:rPr>
          <w:szCs w:val="24"/>
        </w:rPr>
        <w:t xml:space="preserve"> of,</w:t>
      </w:r>
      <w:r w:rsidRPr="001934E3">
        <w:rPr>
          <w:szCs w:val="24"/>
        </w:rPr>
        <w:t xml:space="preserve"> and preparation for</w:t>
      </w:r>
      <w:r w:rsidR="00EC1529">
        <w:rPr>
          <w:szCs w:val="24"/>
        </w:rPr>
        <w:t>,</w:t>
      </w:r>
      <w:r w:rsidRPr="001934E3">
        <w:rPr>
          <w:szCs w:val="24"/>
        </w:rPr>
        <w:t xml:space="preserve"> the psychological impact of pandemics will go a long way toward helping the world</w:t>
      </w:r>
      <w:r w:rsidR="009104F2">
        <w:rPr>
          <w:szCs w:val="24"/>
        </w:rPr>
        <w:t>’</w:t>
      </w:r>
      <w:r w:rsidRPr="001934E3">
        <w:rPr>
          <w:szCs w:val="24"/>
        </w:rPr>
        <w:t xml:space="preserve">s citizens adapt to the </w:t>
      </w:r>
      <w:r w:rsidR="0090380A">
        <w:rPr>
          <w:szCs w:val="24"/>
        </w:rPr>
        <w:t>‘</w:t>
      </w:r>
      <w:r w:rsidRPr="001934E3">
        <w:rPr>
          <w:szCs w:val="24"/>
        </w:rPr>
        <w:t>new normal</w:t>
      </w:r>
      <w:r w:rsidR="0090380A">
        <w:rPr>
          <w:szCs w:val="24"/>
        </w:rPr>
        <w:t>’</w:t>
      </w:r>
      <w:r w:rsidRPr="001934E3">
        <w:rPr>
          <w:szCs w:val="24"/>
        </w:rPr>
        <w:t>.</w:t>
      </w:r>
    </w:p>
    <w:p w14:paraId="5C729C7F" w14:textId="75E1ADE7" w:rsidR="00404E15" w:rsidRDefault="000101AC" w:rsidP="000101AC">
      <w:pPr>
        <w:pStyle w:val="Heading1"/>
      </w:pPr>
      <w:r>
        <w:t>References</w:t>
      </w:r>
    </w:p>
    <w:p w14:paraId="2F2EE3B6" w14:textId="77777777" w:rsidR="0026232F" w:rsidRPr="0026232F" w:rsidRDefault="003C2202" w:rsidP="0026232F">
      <w:pPr>
        <w:pStyle w:val="Bibliography"/>
        <w:rPr>
          <w:rFonts w:cs="Times New Roman"/>
        </w:rPr>
      </w:pPr>
      <w:r>
        <w:lastRenderedPageBreak/>
        <w:fldChar w:fldCharType="begin"/>
      </w:r>
      <w:r>
        <w:instrText xml:space="preserve"> ADDIN ZOTERO_BIBL {"uncited":[],"omitted":[],"custom":[]} CSL_BIBLIOGRAPHY </w:instrText>
      </w:r>
      <w:r>
        <w:fldChar w:fldCharType="separate"/>
      </w:r>
      <w:r w:rsidR="0026232F" w:rsidRPr="0026232F">
        <w:rPr>
          <w:rFonts w:cs="Times New Roman"/>
        </w:rPr>
        <w:t xml:space="preserve">Ahorsu, D. K., Lin, C.-Y., Imani, V., Saffari, M., Griffiths, M. D., &amp; Pakpour, A. H. (2020). The Fear of COVID-19 Scale: Development and initial validation. </w:t>
      </w:r>
      <w:r w:rsidR="0026232F" w:rsidRPr="0026232F">
        <w:rPr>
          <w:rFonts w:cs="Times New Roman"/>
          <w:i/>
          <w:iCs/>
        </w:rPr>
        <w:t>International Journal of Mental Health and Addiction</w:t>
      </w:r>
      <w:r w:rsidR="0026232F" w:rsidRPr="0026232F">
        <w:rPr>
          <w:rFonts w:cs="Times New Roman"/>
        </w:rPr>
        <w:t>. https://doi.org/10.1007/s11469-020-00270-8</w:t>
      </w:r>
    </w:p>
    <w:p w14:paraId="34E283C7" w14:textId="77777777" w:rsidR="0026232F" w:rsidRPr="0026232F" w:rsidRDefault="0026232F" w:rsidP="0026232F">
      <w:pPr>
        <w:pStyle w:val="Bibliography"/>
        <w:rPr>
          <w:rFonts w:cs="Times New Roman"/>
        </w:rPr>
      </w:pPr>
      <w:r w:rsidRPr="0026232F">
        <w:rPr>
          <w:rFonts w:cs="Times New Roman"/>
        </w:rPr>
        <w:t xml:space="preserve">Amin, S. (2020). The psychology of coronavirus fear: Are healthcare professionals suffering from corona-phobia? </w:t>
      </w:r>
      <w:r w:rsidRPr="0026232F">
        <w:rPr>
          <w:rFonts w:cs="Times New Roman"/>
          <w:i/>
          <w:iCs/>
        </w:rPr>
        <w:t>International Journal of Healthcare Management</w:t>
      </w:r>
      <w:r w:rsidRPr="0026232F">
        <w:rPr>
          <w:rFonts w:cs="Times New Roman"/>
        </w:rPr>
        <w:t>, 1–8. https://doi.org/10.1080/20479700.2020.1765119</w:t>
      </w:r>
    </w:p>
    <w:p w14:paraId="70E627C8" w14:textId="77777777" w:rsidR="0026232F" w:rsidRPr="0026232F" w:rsidRDefault="0026232F" w:rsidP="0026232F">
      <w:pPr>
        <w:pStyle w:val="Bibliography"/>
        <w:rPr>
          <w:rFonts w:cs="Times New Roman"/>
        </w:rPr>
      </w:pPr>
      <w:r w:rsidRPr="0026232F">
        <w:rPr>
          <w:rFonts w:cs="Times New Roman"/>
        </w:rPr>
        <w:t xml:space="preserve">Australian Government. (2020). </w:t>
      </w:r>
      <w:r w:rsidRPr="0026232F">
        <w:rPr>
          <w:rFonts w:cs="Times New Roman"/>
          <w:i/>
          <w:iCs/>
        </w:rPr>
        <w:t>Coronavirus (COVID-19)—Official Australian Government information</w:t>
      </w:r>
      <w:r w:rsidRPr="0026232F">
        <w:rPr>
          <w:rFonts w:cs="Times New Roman"/>
        </w:rPr>
        <w:t>. Australia. https://www.australia.gov.au/</w:t>
      </w:r>
    </w:p>
    <w:p w14:paraId="4891103A" w14:textId="77777777" w:rsidR="0026232F" w:rsidRPr="0026232F" w:rsidRDefault="0026232F" w:rsidP="0026232F">
      <w:pPr>
        <w:pStyle w:val="Bibliography"/>
        <w:rPr>
          <w:rFonts w:cs="Times New Roman"/>
        </w:rPr>
      </w:pPr>
      <w:r w:rsidRPr="0026232F">
        <w:rPr>
          <w:rFonts w:cs="Times New Roman"/>
        </w:rPr>
        <w:t xml:space="preserve">Australian Government Department of Education. (2019). </w:t>
      </w:r>
      <w:r w:rsidRPr="0026232F">
        <w:rPr>
          <w:rFonts w:cs="Times New Roman"/>
          <w:i/>
          <w:iCs/>
        </w:rPr>
        <w:t>December 2019 end of year summary</w:t>
      </w:r>
      <w:r w:rsidRPr="0026232F">
        <w:rPr>
          <w:rFonts w:cs="Times New Roman"/>
        </w:rPr>
        <w:t>. Australian Government Department of Education. https://internationaleducation.gov.au/research/International-Student-Data/Documents/MONTHLY%20SUMMARIES/2019/December%202019%20End%20of%20year%20summary.pdf</w:t>
      </w:r>
    </w:p>
    <w:p w14:paraId="0028628E" w14:textId="77777777" w:rsidR="0026232F" w:rsidRPr="0026232F" w:rsidRDefault="0026232F" w:rsidP="0026232F">
      <w:pPr>
        <w:pStyle w:val="Bibliography"/>
        <w:rPr>
          <w:rFonts w:cs="Times New Roman"/>
        </w:rPr>
      </w:pPr>
      <w:r w:rsidRPr="0026232F">
        <w:rPr>
          <w:rFonts w:cs="Times New Roman"/>
        </w:rPr>
        <w:t xml:space="preserve">Carpenter, S. (2018). Ten Steps in Scale Development and Reporting: A Guide for Researchers. </w:t>
      </w:r>
      <w:r w:rsidRPr="0026232F">
        <w:rPr>
          <w:rFonts w:cs="Times New Roman"/>
          <w:i/>
          <w:iCs/>
        </w:rPr>
        <w:t>Communication Methods and Measures</w:t>
      </w:r>
      <w:r w:rsidRPr="0026232F">
        <w:rPr>
          <w:rFonts w:cs="Times New Roman"/>
        </w:rPr>
        <w:t xml:space="preserve">, </w:t>
      </w:r>
      <w:r w:rsidRPr="0026232F">
        <w:rPr>
          <w:rFonts w:cs="Times New Roman"/>
          <w:i/>
          <w:iCs/>
        </w:rPr>
        <w:t>12</w:t>
      </w:r>
      <w:r w:rsidRPr="0026232F">
        <w:rPr>
          <w:rFonts w:cs="Times New Roman"/>
        </w:rPr>
        <w:t>(1), 25–44. https://doi.org/10.1080/19312458.2017.1396583</w:t>
      </w:r>
    </w:p>
    <w:p w14:paraId="2859A120" w14:textId="77777777" w:rsidR="0026232F" w:rsidRPr="0026232F" w:rsidRDefault="0026232F" w:rsidP="0026232F">
      <w:pPr>
        <w:pStyle w:val="Bibliography"/>
        <w:rPr>
          <w:rFonts w:cs="Times New Roman"/>
        </w:rPr>
      </w:pPr>
      <w:r w:rsidRPr="0026232F">
        <w:rPr>
          <w:rFonts w:cs="Times New Roman"/>
        </w:rPr>
        <w:t xml:space="preserve">covid19data.com.au. (2020). </w:t>
      </w:r>
      <w:r w:rsidRPr="0026232F">
        <w:rPr>
          <w:rFonts w:cs="Times New Roman"/>
          <w:i/>
          <w:iCs/>
        </w:rPr>
        <w:t>Coronavirus (COVID-19) in Australia</w:t>
      </w:r>
      <w:r w:rsidRPr="0026232F">
        <w:rPr>
          <w:rFonts w:cs="Times New Roman"/>
        </w:rPr>
        <w:t>. Coronavirus (COVID-19) in Australia. https://www.covid19data.com.au/</w:t>
      </w:r>
    </w:p>
    <w:p w14:paraId="118723AB" w14:textId="77777777" w:rsidR="0026232F" w:rsidRPr="0026232F" w:rsidRDefault="0026232F" w:rsidP="0026232F">
      <w:pPr>
        <w:pStyle w:val="Bibliography"/>
        <w:rPr>
          <w:rFonts w:cs="Times New Roman"/>
        </w:rPr>
      </w:pPr>
      <w:r w:rsidRPr="0026232F">
        <w:rPr>
          <w:rFonts w:cs="Times New Roman"/>
        </w:rPr>
        <w:t xml:space="preserve">Crawford, J., Cayley, C., Lovibond, P. F., Wilson, P. H., &amp; Hartley, C. (2011). Percentile Norms and Accompanying Interval Estimates from an Australian General Adult Population Sample for Self-Report Mood Scales (BAI, BDI, CRSD, CES-D, DASS, DASS-21, STAI-X, STAI-Y, SRDS, and SRAS): Percentile norms for mood scales. </w:t>
      </w:r>
      <w:r w:rsidRPr="0026232F">
        <w:rPr>
          <w:rFonts w:cs="Times New Roman"/>
          <w:i/>
          <w:iCs/>
        </w:rPr>
        <w:t>Australian Psychologist</w:t>
      </w:r>
      <w:r w:rsidRPr="0026232F">
        <w:rPr>
          <w:rFonts w:cs="Times New Roman"/>
        </w:rPr>
        <w:t xml:space="preserve">, </w:t>
      </w:r>
      <w:r w:rsidRPr="0026232F">
        <w:rPr>
          <w:rFonts w:cs="Times New Roman"/>
          <w:i/>
          <w:iCs/>
        </w:rPr>
        <w:t>46</w:t>
      </w:r>
      <w:r w:rsidRPr="0026232F">
        <w:rPr>
          <w:rFonts w:cs="Times New Roman"/>
        </w:rPr>
        <w:t>(1), 3–14. https://doi.org/10.1111/j.1742-9544.2010.00003.x</w:t>
      </w:r>
    </w:p>
    <w:p w14:paraId="08700D39" w14:textId="77777777" w:rsidR="0026232F" w:rsidRPr="0026232F" w:rsidRDefault="0026232F" w:rsidP="0026232F">
      <w:pPr>
        <w:pStyle w:val="Bibliography"/>
        <w:rPr>
          <w:rFonts w:cs="Times New Roman"/>
        </w:rPr>
      </w:pPr>
      <w:r w:rsidRPr="0026232F">
        <w:rPr>
          <w:rFonts w:cs="Times New Roman"/>
        </w:rPr>
        <w:lastRenderedPageBreak/>
        <w:t xml:space="preserve">Forbes-Mewett, H. (2019). </w:t>
      </w:r>
      <w:r w:rsidRPr="0026232F">
        <w:rPr>
          <w:rFonts w:cs="Times New Roman"/>
          <w:i/>
          <w:iCs/>
        </w:rPr>
        <w:t>Mental health and international students: Issues, challenges and effective practice</w:t>
      </w:r>
      <w:r w:rsidRPr="0026232F">
        <w:rPr>
          <w:rFonts w:cs="Times New Roman"/>
        </w:rPr>
        <w:t xml:space="preserve"> (Research Digest 15, p. 17). International Education Association of Australia. https://www.ieaa.org.au/documents/item/1616</w:t>
      </w:r>
    </w:p>
    <w:p w14:paraId="4DB7FCBA" w14:textId="77777777" w:rsidR="0026232F" w:rsidRPr="0026232F" w:rsidRDefault="0026232F" w:rsidP="0026232F">
      <w:pPr>
        <w:pStyle w:val="Bibliography"/>
        <w:rPr>
          <w:rFonts w:cs="Times New Roman"/>
        </w:rPr>
      </w:pPr>
      <w:r w:rsidRPr="0026232F">
        <w:rPr>
          <w:rFonts w:cs="Times New Roman"/>
        </w:rPr>
        <w:t xml:space="preserve">Ho, S. M. Y., Kwong-Lo, R. S. Y., Mak, C. W. Y., &amp; Wong, J. S. (2005). Fear of Severe Acute Respiratory Syndrome (SARS) Among Health Care Workers. </w:t>
      </w:r>
      <w:r w:rsidRPr="0026232F">
        <w:rPr>
          <w:rFonts w:cs="Times New Roman"/>
          <w:i/>
          <w:iCs/>
        </w:rPr>
        <w:t>Journal of Consulting and Clinical Psychology</w:t>
      </w:r>
      <w:r w:rsidRPr="0026232F">
        <w:rPr>
          <w:rFonts w:cs="Times New Roman"/>
        </w:rPr>
        <w:t xml:space="preserve">, </w:t>
      </w:r>
      <w:r w:rsidRPr="0026232F">
        <w:rPr>
          <w:rFonts w:cs="Times New Roman"/>
          <w:i/>
          <w:iCs/>
        </w:rPr>
        <w:t>73</w:t>
      </w:r>
      <w:r w:rsidRPr="0026232F">
        <w:rPr>
          <w:rFonts w:cs="Times New Roman"/>
        </w:rPr>
        <w:t>(2), 344–349. https://doi.org/10.1037/0022-006X.73.2.344</w:t>
      </w:r>
    </w:p>
    <w:p w14:paraId="26674E2E" w14:textId="77777777" w:rsidR="0026232F" w:rsidRPr="0026232F" w:rsidRDefault="0026232F" w:rsidP="0026232F">
      <w:pPr>
        <w:pStyle w:val="Bibliography"/>
        <w:rPr>
          <w:rFonts w:cs="Times New Roman"/>
        </w:rPr>
      </w:pPr>
      <w:r w:rsidRPr="0026232F">
        <w:rPr>
          <w:rFonts w:cs="Times New Roman"/>
        </w:rPr>
        <w:t xml:space="preserve">Hutton, V. E., Misajon, R., &amp; Collins, F. E. (2013). Subjective wellbeing and ‘felt’ stigma when living with HIV. </w:t>
      </w:r>
      <w:r w:rsidRPr="0026232F">
        <w:rPr>
          <w:rFonts w:cs="Times New Roman"/>
          <w:i/>
          <w:iCs/>
        </w:rPr>
        <w:t>Quality of Life Research</w:t>
      </w:r>
      <w:r w:rsidRPr="0026232F">
        <w:rPr>
          <w:rFonts w:cs="Times New Roman"/>
        </w:rPr>
        <w:t xml:space="preserve">, </w:t>
      </w:r>
      <w:r w:rsidRPr="0026232F">
        <w:rPr>
          <w:rFonts w:cs="Times New Roman"/>
          <w:i/>
          <w:iCs/>
        </w:rPr>
        <w:t>22</w:t>
      </w:r>
      <w:r w:rsidRPr="0026232F">
        <w:rPr>
          <w:rFonts w:cs="Times New Roman"/>
        </w:rPr>
        <w:t>(1), 65–73. https://doi.org/10.1007/s11136-012-0125-7</w:t>
      </w:r>
    </w:p>
    <w:p w14:paraId="642EEFAF" w14:textId="77777777" w:rsidR="0026232F" w:rsidRPr="0026232F" w:rsidRDefault="0026232F" w:rsidP="0026232F">
      <w:pPr>
        <w:pStyle w:val="Bibliography"/>
        <w:rPr>
          <w:rFonts w:cs="Times New Roman"/>
        </w:rPr>
      </w:pPr>
      <w:r w:rsidRPr="0026232F">
        <w:rPr>
          <w:rFonts w:cs="Times New Roman"/>
        </w:rPr>
        <w:t xml:space="preserve">International Wellbeing Group. (2013). </w:t>
      </w:r>
      <w:r w:rsidRPr="0026232F">
        <w:rPr>
          <w:rFonts w:cs="Times New Roman"/>
          <w:i/>
          <w:iCs/>
        </w:rPr>
        <w:t>Personal Wellbeing Index, 5th ed.</w:t>
      </w:r>
      <w:r w:rsidRPr="0026232F">
        <w:rPr>
          <w:rFonts w:cs="Times New Roman"/>
        </w:rPr>
        <w:t xml:space="preserve"> Australian Centre on Quality of Life, Deakin University. http://www.acqol.com.au/instruments#measures</w:t>
      </w:r>
    </w:p>
    <w:p w14:paraId="77ADF685" w14:textId="77777777" w:rsidR="0026232F" w:rsidRPr="0026232F" w:rsidRDefault="0026232F" w:rsidP="0026232F">
      <w:pPr>
        <w:pStyle w:val="Bibliography"/>
        <w:rPr>
          <w:rFonts w:cs="Times New Roman"/>
        </w:rPr>
      </w:pPr>
      <w:r w:rsidRPr="0026232F">
        <w:rPr>
          <w:rFonts w:cs="Times New Roman"/>
        </w:rPr>
        <w:t xml:space="preserve">Jovanović, V., Cummins, R. A., Weinberg, M., Kaliterna, L., &amp; Prizmic-Larsen, Z. (2019). Personal Wellbeing Index: A Cross-Cultural Measurement Invariance Study Across Four Countries. </w:t>
      </w:r>
      <w:r w:rsidRPr="0026232F">
        <w:rPr>
          <w:rFonts w:cs="Times New Roman"/>
          <w:i/>
          <w:iCs/>
        </w:rPr>
        <w:t>Journal of Happiness Studies</w:t>
      </w:r>
      <w:r w:rsidRPr="0026232F">
        <w:rPr>
          <w:rFonts w:cs="Times New Roman"/>
        </w:rPr>
        <w:t xml:space="preserve">, </w:t>
      </w:r>
      <w:r w:rsidRPr="0026232F">
        <w:rPr>
          <w:rFonts w:cs="Times New Roman"/>
          <w:i/>
          <w:iCs/>
        </w:rPr>
        <w:t>20</w:t>
      </w:r>
      <w:r w:rsidRPr="0026232F">
        <w:rPr>
          <w:rFonts w:cs="Times New Roman"/>
        </w:rPr>
        <w:t>(3), 759–775. https://doi.org/10.1007/s10902-018-9966-2</w:t>
      </w:r>
    </w:p>
    <w:p w14:paraId="67D7465F" w14:textId="77777777" w:rsidR="0026232F" w:rsidRPr="0026232F" w:rsidRDefault="0026232F" w:rsidP="0026232F">
      <w:pPr>
        <w:pStyle w:val="Bibliography"/>
        <w:rPr>
          <w:rFonts w:cs="Times New Roman"/>
        </w:rPr>
      </w:pPr>
      <w:r w:rsidRPr="0026232F">
        <w:rPr>
          <w:rFonts w:cs="Times New Roman"/>
        </w:rPr>
        <w:t xml:space="preserve">Khor, S., Fuller-Tyszkiewicz, M., &amp; Hutchinson, D. (2020). Australian Normative Data—Subjective Wellbeing. In </w:t>
      </w:r>
      <w:r w:rsidRPr="0026232F">
        <w:rPr>
          <w:rFonts w:cs="Times New Roman"/>
          <w:i/>
          <w:iCs/>
        </w:rPr>
        <w:t>Personal Wellbeing Index Manual</w:t>
      </w:r>
      <w:r w:rsidRPr="0026232F">
        <w:rPr>
          <w:rFonts w:cs="Times New Roman"/>
        </w:rPr>
        <w:t xml:space="preserve"> (6th ed.). Australian Centre on Quality of Life, Deakin University.</w:t>
      </w:r>
    </w:p>
    <w:p w14:paraId="48B3A6AB" w14:textId="77777777" w:rsidR="0026232F" w:rsidRPr="0026232F" w:rsidRDefault="0026232F" w:rsidP="0026232F">
      <w:pPr>
        <w:pStyle w:val="Bibliography"/>
        <w:rPr>
          <w:rFonts w:cs="Times New Roman"/>
        </w:rPr>
      </w:pPr>
      <w:r w:rsidRPr="0026232F">
        <w:rPr>
          <w:rFonts w:cs="Times New Roman"/>
        </w:rPr>
        <w:t xml:space="preserve">Lace, J. W., &amp; Handal, P. J. (2018). Confirming the Tripartite Structure of the Duke University Religion Index: A Methodological Approach. </w:t>
      </w:r>
      <w:r w:rsidRPr="0026232F">
        <w:rPr>
          <w:rFonts w:cs="Times New Roman"/>
          <w:i/>
          <w:iCs/>
        </w:rPr>
        <w:t>Journal of Religion and Health</w:t>
      </w:r>
      <w:r w:rsidRPr="0026232F">
        <w:rPr>
          <w:rFonts w:cs="Times New Roman"/>
        </w:rPr>
        <w:t xml:space="preserve">, </w:t>
      </w:r>
      <w:r w:rsidRPr="0026232F">
        <w:rPr>
          <w:rFonts w:cs="Times New Roman"/>
          <w:i/>
          <w:iCs/>
        </w:rPr>
        <w:t>57</w:t>
      </w:r>
      <w:r w:rsidRPr="0026232F">
        <w:rPr>
          <w:rFonts w:cs="Times New Roman"/>
        </w:rPr>
        <w:t>(2), 704–716. https://doi.org/10.1007/s10943-017-0556-0</w:t>
      </w:r>
    </w:p>
    <w:p w14:paraId="2F0DC723" w14:textId="77777777" w:rsidR="0026232F" w:rsidRPr="0026232F" w:rsidRDefault="0026232F" w:rsidP="0026232F">
      <w:pPr>
        <w:pStyle w:val="Bibliography"/>
        <w:rPr>
          <w:rFonts w:cs="Times New Roman"/>
        </w:rPr>
      </w:pPr>
      <w:r w:rsidRPr="0026232F">
        <w:rPr>
          <w:rFonts w:cs="Times New Roman"/>
        </w:rPr>
        <w:t xml:space="preserve">Lee, D. (2019). The convergent, discriminant, and nomological validity of the Depression Anxiety Stress Scales-21 (DASS-21). </w:t>
      </w:r>
      <w:r w:rsidRPr="0026232F">
        <w:rPr>
          <w:rFonts w:cs="Times New Roman"/>
          <w:i/>
          <w:iCs/>
        </w:rPr>
        <w:t>Journal of Affective Disorders</w:t>
      </w:r>
      <w:r w:rsidRPr="0026232F">
        <w:rPr>
          <w:rFonts w:cs="Times New Roman"/>
        </w:rPr>
        <w:t xml:space="preserve">, </w:t>
      </w:r>
      <w:r w:rsidRPr="0026232F">
        <w:rPr>
          <w:rFonts w:cs="Times New Roman"/>
          <w:i/>
          <w:iCs/>
        </w:rPr>
        <w:t>259</w:t>
      </w:r>
      <w:r w:rsidRPr="0026232F">
        <w:rPr>
          <w:rFonts w:cs="Times New Roman"/>
        </w:rPr>
        <w:t>, 136–142. https://doi.org/10.1016/j.jad.2019.06.036</w:t>
      </w:r>
    </w:p>
    <w:p w14:paraId="3E9D5B76" w14:textId="77777777" w:rsidR="0026232F" w:rsidRPr="0026232F" w:rsidRDefault="0026232F" w:rsidP="0026232F">
      <w:pPr>
        <w:pStyle w:val="Bibliography"/>
        <w:rPr>
          <w:rFonts w:cs="Times New Roman"/>
        </w:rPr>
      </w:pPr>
      <w:r w:rsidRPr="0026232F">
        <w:rPr>
          <w:rFonts w:cs="Times New Roman"/>
        </w:rPr>
        <w:lastRenderedPageBreak/>
        <w:t xml:space="preserve">Lovibond, S. H., &amp; Lovibond, P. F. (1996). </w:t>
      </w:r>
      <w:r w:rsidRPr="0026232F">
        <w:rPr>
          <w:rFonts w:cs="Times New Roman"/>
          <w:i/>
          <w:iCs/>
        </w:rPr>
        <w:t>Manual for the Depression, Anxiety, Stress Scales.</w:t>
      </w:r>
      <w:r w:rsidRPr="0026232F">
        <w:rPr>
          <w:rFonts w:cs="Times New Roman"/>
        </w:rPr>
        <w:t xml:space="preserve"> The Psychology Foundation of Australia Inc. http://www2.psy.unsw.edu.au/dass//</w:t>
      </w:r>
    </w:p>
    <w:p w14:paraId="35CA9E3A" w14:textId="77777777" w:rsidR="0026232F" w:rsidRPr="0026232F" w:rsidRDefault="0026232F" w:rsidP="0026232F">
      <w:pPr>
        <w:pStyle w:val="Bibliography"/>
        <w:rPr>
          <w:rFonts w:cs="Times New Roman"/>
        </w:rPr>
      </w:pPr>
      <w:r w:rsidRPr="0026232F">
        <w:rPr>
          <w:rFonts w:cs="Times New Roman"/>
        </w:rPr>
        <w:t xml:space="preserve">Misajon, R., Pallant, J., &amp; Bliuc, A.-M. (2016). Rasch analysis of the Personal Wellbeing Index. </w:t>
      </w:r>
      <w:r w:rsidRPr="0026232F">
        <w:rPr>
          <w:rFonts w:cs="Times New Roman"/>
          <w:i/>
          <w:iCs/>
        </w:rPr>
        <w:t>Quality of Life Research</w:t>
      </w:r>
      <w:r w:rsidRPr="0026232F">
        <w:rPr>
          <w:rFonts w:cs="Times New Roman"/>
        </w:rPr>
        <w:t xml:space="preserve">, </w:t>
      </w:r>
      <w:r w:rsidRPr="0026232F">
        <w:rPr>
          <w:rFonts w:cs="Times New Roman"/>
          <w:i/>
          <w:iCs/>
        </w:rPr>
        <w:t>25</w:t>
      </w:r>
      <w:r w:rsidRPr="0026232F">
        <w:rPr>
          <w:rFonts w:cs="Times New Roman"/>
        </w:rPr>
        <w:t>(10), 2565–2569. https://doi.org/10.1007/s11136-016-1302-x</w:t>
      </w:r>
    </w:p>
    <w:p w14:paraId="3924E12D" w14:textId="77777777" w:rsidR="0026232F" w:rsidRPr="0026232F" w:rsidRDefault="0026232F" w:rsidP="0026232F">
      <w:pPr>
        <w:pStyle w:val="Bibliography"/>
        <w:rPr>
          <w:rFonts w:cs="Times New Roman"/>
        </w:rPr>
      </w:pPr>
      <w:r w:rsidRPr="0026232F">
        <w:rPr>
          <w:rFonts w:cs="Times New Roman"/>
        </w:rPr>
        <w:t xml:space="preserve">Palmer Kelly, E., Hyer, M., Payne, N., &amp; Pawlik, T. M. (2019). A mixed-methods approach to understanding the role of religion and spirituality in healthcare provider well-being. </w:t>
      </w:r>
      <w:r w:rsidRPr="0026232F">
        <w:rPr>
          <w:rFonts w:cs="Times New Roman"/>
          <w:i/>
          <w:iCs/>
        </w:rPr>
        <w:t>Psychology of Religion and Spirituality</w:t>
      </w:r>
      <w:r w:rsidRPr="0026232F">
        <w:rPr>
          <w:rFonts w:cs="Times New Roman"/>
        </w:rPr>
        <w:t>. https://doi.org/10.1037/rel0000297</w:t>
      </w:r>
    </w:p>
    <w:p w14:paraId="56DF4779" w14:textId="77777777" w:rsidR="0026232F" w:rsidRPr="0026232F" w:rsidRDefault="0026232F" w:rsidP="0026232F">
      <w:pPr>
        <w:pStyle w:val="Bibliography"/>
        <w:rPr>
          <w:rFonts w:cs="Times New Roman"/>
        </w:rPr>
      </w:pPr>
      <w:r w:rsidRPr="0026232F">
        <w:rPr>
          <w:rFonts w:cs="Times New Roman"/>
        </w:rPr>
        <w:t xml:space="preserve">Pappas, G., Kiriaze, I. J., Giannakis, P., &amp; Falagas, M. E. (2009). Psychosocial consequences of infectious diseases. </w:t>
      </w:r>
      <w:r w:rsidRPr="0026232F">
        <w:rPr>
          <w:rFonts w:cs="Times New Roman"/>
          <w:i/>
          <w:iCs/>
        </w:rPr>
        <w:t>Clinical Microbiology and Infection</w:t>
      </w:r>
      <w:r w:rsidRPr="0026232F">
        <w:rPr>
          <w:rFonts w:cs="Times New Roman"/>
        </w:rPr>
        <w:t xml:space="preserve">, </w:t>
      </w:r>
      <w:r w:rsidRPr="0026232F">
        <w:rPr>
          <w:rFonts w:cs="Times New Roman"/>
          <w:i/>
          <w:iCs/>
        </w:rPr>
        <w:t>15</w:t>
      </w:r>
      <w:r w:rsidRPr="0026232F">
        <w:rPr>
          <w:rFonts w:cs="Times New Roman"/>
        </w:rPr>
        <w:t>(8), 743–747. https://doi.org/10.1111/j.1469-0691.2009.02947.x</w:t>
      </w:r>
    </w:p>
    <w:p w14:paraId="4EC5DBC7" w14:textId="77777777" w:rsidR="0026232F" w:rsidRPr="0026232F" w:rsidRDefault="0026232F" w:rsidP="0026232F">
      <w:pPr>
        <w:pStyle w:val="Bibliography"/>
        <w:rPr>
          <w:rFonts w:cs="Times New Roman"/>
        </w:rPr>
      </w:pPr>
      <w:r w:rsidRPr="0026232F">
        <w:rPr>
          <w:rFonts w:cs="Times New Roman"/>
        </w:rPr>
        <w:t xml:space="preserve">Praharso, N. F., Tear, M. J., &amp; Cruwys, T. (2017). Stressful life transitions and wellbeing: A comparison of the stress buffering hypothesis and the social identity model of identity change. </w:t>
      </w:r>
      <w:r w:rsidRPr="0026232F">
        <w:rPr>
          <w:rFonts w:cs="Times New Roman"/>
          <w:i/>
          <w:iCs/>
        </w:rPr>
        <w:t>Psychiatry Research</w:t>
      </w:r>
      <w:r w:rsidRPr="0026232F">
        <w:rPr>
          <w:rFonts w:cs="Times New Roman"/>
        </w:rPr>
        <w:t xml:space="preserve">, </w:t>
      </w:r>
      <w:r w:rsidRPr="0026232F">
        <w:rPr>
          <w:rFonts w:cs="Times New Roman"/>
          <w:i/>
          <w:iCs/>
        </w:rPr>
        <w:t>247</w:t>
      </w:r>
      <w:r w:rsidRPr="0026232F">
        <w:rPr>
          <w:rFonts w:cs="Times New Roman"/>
        </w:rPr>
        <w:t>, 265–275. https://doi.org/10.1016/j.psychres.2016.11.039</w:t>
      </w:r>
    </w:p>
    <w:p w14:paraId="178D2D93" w14:textId="77777777" w:rsidR="0026232F" w:rsidRPr="0026232F" w:rsidRDefault="0026232F" w:rsidP="0026232F">
      <w:pPr>
        <w:pStyle w:val="Bibliography"/>
        <w:rPr>
          <w:rFonts w:cs="Times New Roman"/>
        </w:rPr>
      </w:pPr>
      <w:r w:rsidRPr="0026232F">
        <w:rPr>
          <w:rFonts w:cs="Times New Roman"/>
        </w:rPr>
        <w:t xml:space="preserve">Rosenthal, D. A., Russell, J., &amp; Thomson, G. (2008). The health and wellbeing of international students at an Australian university. </w:t>
      </w:r>
      <w:r w:rsidRPr="0026232F">
        <w:rPr>
          <w:rFonts w:cs="Times New Roman"/>
          <w:i/>
          <w:iCs/>
        </w:rPr>
        <w:t>Higher Education</w:t>
      </w:r>
      <w:r w:rsidRPr="0026232F">
        <w:rPr>
          <w:rFonts w:cs="Times New Roman"/>
        </w:rPr>
        <w:t xml:space="preserve">, </w:t>
      </w:r>
      <w:r w:rsidRPr="0026232F">
        <w:rPr>
          <w:rFonts w:cs="Times New Roman"/>
          <w:i/>
          <w:iCs/>
        </w:rPr>
        <w:t>55</w:t>
      </w:r>
      <w:r w:rsidRPr="0026232F">
        <w:rPr>
          <w:rFonts w:cs="Times New Roman"/>
        </w:rPr>
        <w:t>(1), 51–67. https://doi.org/10.1007/s10734-006-9037-1</w:t>
      </w:r>
    </w:p>
    <w:p w14:paraId="1E1A106F" w14:textId="77777777" w:rsidR="0026232F" w:rsidRPr="0026232F" w:rsidRDefault="0026232F" w:rsidP="0026232F">
      <w:pPr>
        <w:pStyle w:val="Bibliography"/>
        <w:rPr>
          <w:rFonts w:cs="Times New Roman"/>
        </w:rPr>
      </w:pPr>
      <w:r w:rsidRPr="0026232F">
        <w:rPr>
          <w:rFonts w:cs="Times New Roman"/>
        </w:rPr>
        <w:t xml:space="preserve">Roser, M., Ritchie, H., Ortiz-Ospina, E., &amp; Hasell, J. (2020). </w:t>
      </w:r>
      <w:r w:rsidRPr="0026232F">
        <w:rPr>
          <w:rFonts w:cs="Times New Roman"/>
          <w:i/>
          <w:iCs/>
        </w:rPr>
        <w:t>Coronavirus Pandemic (COVID-19)</w:t>
      </w:r>
      <w:r w:rsidRPr="0026232F">
        <w:rPr>
          <w:rFonts w:cs="Times New Roman"/>
        </w:rPr>
        <w:t>. OurWorldInData.Org. https://ourworldindata.org/coronavirus</w:t>
      </w:r>
    </w:p>
    <w:p w14:paraId="68F5365B" w14:textId="77777777" w:rsidR="0026232F" w:rsidRPr="0026232F" w:rsidRDefault="0026232F" w:rsidP="0026232F">
      <w:pPr>
        <w:pStyle w:val="Bibliography"/>
        <w:rPr>
          <w:rFonts w:cs="Times New Roman"/>
        </w:rPr>
      </w:pPr>
      <w:r w:rsidRPr="0026232F">
        <w:rPr>
          <w:rFonts w:cs="Times New Roman"/>
        </w:rPr>
        <w:t xml:space="preserve">Scholten, S., Velten, J., Bieda, A., Zhang, X. C., &amp; Margraf, J. (2017). Testing measurement invariance of the Depression, Anxiety, and Stress Scales (DASS-21) across four countries. </w:t>
      </w:r>
      <w:r w:rsidRPr="0026232F">
        <w:rPr>
          <w:rFonts w:cs="Times New Roman"/>
          <w:i/>
          <w:iCs/>
        </w:rPr>
        <w:t>Psychological Assessment</w:t>
      </w:r>
      <w:r w:rsidRPr="0026232F">
        <w:rPr>
          <w:rFonts w:cs="Times New Roman"/>
        </w:rPr>
        <w:t xml:space="preserve">, </w:t>
      </w:r>
      <w:r w:rsidRPr="0026232F">
        <w:rPr>
          <w:rFonts w:cs="Times New Roman"/>
          <w:i/>
          <w:iCs/>
        </w:rPr>
        <w:t>29</w:t>
      </w:r>
      <w:r w:rsidRPr="0026232F">
        <w:rPr>
          <w:rFonts w:cs="Times New Roman"/>
        </w:rPr>
        <w:t>(11), 1376–1390. https://doi.org/10.1037/pas0000440</w:t>
      </w:r>
    </w:p>
    <w:p w14:paraId="22333E91" w14:textId="77777777" w:rsidR="0026232F" w:rsidRPr="0026232F" w:rsidRDefault="0026232F" w:rsidP="0026232F">
      <w:pPr>
        <w:pStyle w:val="Bibliography"/>
        <w:rPr>
          <w:rFonts w:cs="Times New Roman"/>
        </w:rPr>
      </w:pPr>
      <w:r w:rsidRPr="0026232F">
        <w:rPr>
          <w:rFonts w:cs="Times New Roman"/>
        </w:rPr>
        <w:t xml:space="preserve">Sinclair, S. J., Siefert, C. J., Slavin-Mulford, J. M., Stein, M. B., Renna, M., &amp; Blais, M. A. (2012). Psychometric Evaluation and Normative Data for the Depression, Anxiety, and </w:t>
      </w:r>
      <w:r w:rsidRPr="0026232F">
        <w:rPr>
          <w:rFonts w:cs="Times New Roman"/>
        </w:rPr>
        <w:lastRenderedPageBreak/>
        <w:t xml:space="preserve">Stress Scales-21 (DASS-21) in a Nonclinical Sample of U.S. Adults. </w:t>
      </w:r>
      <w:r w:rsidRPr="0026232F">
        <w:rPr>
          <w:rFonts w:cs="Times New Roman"/>
          <w:i/>
          <w:iCs/>
        </w:rPr>
        <w:t>Evaluation &amp; the Health Professions</w:t>
      </w:r>
      <w:r w:rsidRPr="0026232F">
        <w:rPr>
          <w:rFonts w:cs="Times New Roman"/>
        </w:rPr>
        <w:t xml:space="preserve">, </w:t>
      </w:r>
      <w:r w:rsidRPr="0026232F">
        <w:rPr>
          <w:rFonts w:cs="Times New Roman"/>
          <w:i/>
          <w:iCs/>
        </w:rPr>
        <w:t>35</w:t>
      </w:r>
      <w:r w:rsidRPr="0026232F">
        <w:rPr>
          <w:rFonts w:cs="Times New Roman"/>
        </w:rPr>
        <w:t>(3), 259–279. https://doi.org/10.1177/0163278711424282</w:t>
      </w:r>
    </w:p>
    <w:p w14:paraId="22F3FDAB" w14:textId="77777777" w:rsidR="0026232F" w:rsidRPr="0026232F" w:rsidRDefault="0026232F" w:rsidP="0026232F">
      <w:pPr>
        <w:pStyle w:val="Bibliography"/>
        <w:rPr>
          <w:rFonts w:cs="Times New Roman"/>
        </w:rPr>
      </w:pPr>
      <w:r w:rsidRPr="0026232F">
        <w:rPr>
          <w:rFonts w:cs="Times New Roman"/>
        </w:rPr>
        <w:t xml:space="preserve">Soong, H., &amp; Procter, N. (2020). </w:t>
      </w:r>
      <w:r w:rsidRPr="0026232F">
        <w:rPr>
          <w:rFonts w:cs="Times New Roman"/>
          <w:i/>
          <w:iCs/>
        </w:rPr>
        <w:t>COVID-19 increases risk to international students’ mental health. Australia urgently needs to step up</w:t>
      </w:r>
      <w:r w:rsidRPr="0026232F">
        <w:rPr>
          <w:rFonts w:cs="Times New Roman"/>
        </w:rPr>
        <w:t>. The Conversation. http://theconversation.com/covid-19-increases-risk-to-international-students-mental-health-australia-urgently-needs-to-step-up-137596</w:t>
      </w:r>
    </w:p>
    <w:p w14:paraId="05575D6B" w14:textId="77777777" w:rsidR="0026232F" w:rsidRPr="0026232F" w:rsidRDefault="0026232F" w:rsidP="0026232F">
      <w:pPr>
        <w:pStyle w:val="Bibliography"/>
        <w:rPr>
          <w:rFonts w:cs="Times New Roman"/>
        </w:rPr>
      </w:pPr>
      <w:r w:rsidRPr="0026232F">
        <w:rPr>
          <w:rFonts w:cs="Times New Roman"/>
        </w:rPr>
        <w:t xml:space="preserve">Stallman, H. M., Ohan, J. L., &amp; Chiera, B. (2019). Reducing distress in university students: A randomised control trial of two online interventions. </w:t>
      </w:r>
      <w:r w:rsidRPr="0026232F">
        <w:rPr>
          <w:rFonts w:cs="Times New Roman"/>
          <w:i/>
          <w:iCs/>
        </w:rPr>
        <w:t>Australian Psychologist</w:t>
      </w:r>
      <w:r w:rsidRPr="0026232F">
        <w:rPr>
          <w:rFonts w:cs="Times New Roman"/>
        </w:rPr>
        <w:t xml:space="preserve">, </w:t>
      </w:r>
      <w:r w:rsidRPr="0026232F">
        <w:rPr>
          <w:rFonts w:cs="Times New Roman"/>
          <w:i/>
          <w:iCs/>
        </w:rPr>
        <w:t>54</w:t>
      </w:r>
      <w:r w:rsidRPr="0026232F">
        <w:rPr>
          <w:rFonts w:cs="Times New Roman"/>
        </w:rPr>
        <w:t>(2), 125–131. https://doi.org/10.1111/ap.12375</w:t>
      </w:r>
    </w:p>
    <w:p w14:paraId="03A7929D" w14:textId="77777777" w:rsidR="0026232F" w:rsidRPr="0026232F" w:rsidRDefault="0026232F" w:rsidP="0026232F">
      <w:pPr>
        <w:pStyle w:val="Bibliography"/>
        <w:rPr>
          <w:rFonts w:cs="Times New Roman"/>
        </w:rPr>
      </w:pPr>
      <w:r w:rsidRPr="0026232F">
        <w:rPr>
          <w:rFonts w:cs="Times New Roman"/>
        </w:rPr>
        <w:t xml:space="preserve">Stanford, M. S., Oxhandler, H. K., &amp; Ellor, J. W. (2019). Assessing the usefulness of the God Questionnaire. </w:t>
      </w:r>
      <w:r w:rsidRPr="0026232F">
        <w:rPr>
          <w:rFonts w:cs="Times New Roman"/>
          <w:i/>
          <w:iCs/>
        </w:rPr>
        <w:t>Psychology of Religion and Spirituality</w:t>
      </w:r>
      <w:r w:rsidRPr="0026232F">
        <w:rPr>
          <w:rFonts w:cs="Times New Roman"/>
        </w:rPr>
        <w:t>. https://doi.org/10.1037/rel0000292</w:t>
      </w:r>
    </w:p>
    <w:p w14:paraId="4EB0421D" w14:textId="77777777" w:rsidR="0026232F" w:rsidRPr="0026232F" w:rsidRDefault="0026232F" w:rsidP="0026232F">
      <w:pPr>
        <w:pStyle w:val="Bibliography"/>
        <w:rPr>
          <w:rFonts w:cs="Times New Roman"/>
        </w:rPr>
      </w:pPr>
      <w:r w:rsidRPr="0026232F">
        <w:rPr>
          <w:rFonts w:cs="Times New Roman"/>
        </w:rPr>
        <w:t xml:space="preserve">Stuijfzand, S., Deforges, C., Sandoz, V., Sajin, C.-T. C.-T., Jaques, C., Elmers, J., &amp; Horsch, A. (2020). </w:t>
      </w:r>
      <w:r w:rsidRPr="0026232F">
        <w:rPr>
          <w:rFonts w:cs="Times New Roman"/>
          <w:i/>
          <w:iCs/>
        </w:rPr>
        <w:t>Psychological Impact of an Epidemic/Pandemic on the Mental Health of Healthcare Professionals: A Rapid Review</w:t>
      </w:r>
      <w:r w:rsidRPr="0026232F">
        <w:rPr>
          <w:rFonts w:cs="Times New Roman"/>
        </w:rPr>
        <w:t xml:space="preserve"> [Preprint]. In Review. https://doi.org/10.21203/rs.3.rs-30156/v1</w:t>
      </w:r>
    </w:p>
    <w:p w14:paraId="5AE52B66" w14:textId="77777777" w:rsidR="0026232F" w:rsidRPr="0026232F" w:rsidRDefault="0026232F" w:rsidP="0026232F">
      <w:pPr>
        <w:pStyle w:val="Bibliography"/>
        <w:rPr>
          <w:rFonts w:cs="Times New Roman"/>
        </w:rPr>
      </w:pPr>
      <w:r w:rsidRPr="0026232F">
        <w:rPr>
          <w:rFonts w:cs="Times New Roman"/>
        </w:rPr>
        <w:t xml:space="preserve">Taylor, S., Landry, C. A., Paluszek, M. M., Fergus, T. A., McKay, D., &amp; Asmundson, G. J. G. (2020). Development and initial validation of the COVID Stress Scales. </w:t>
      </w:r>
      <w:r w:rsidRPr="0026232F">
        <w:rPr>
          <w:rFonts w:cs="Times New Roman"/>
          <w:i/>
          <w:iCs/>
        </w:rPr>
        <w:t>Journal of Anxiety Disorders</w:t>
      </w:r>
      <w:r w:rsidRPr="0026232F">
        <w:rPr>
          <w:rFonts w:cs="Times New Roman"/>
        </w:rPr>
        <w:t xml:space="preserve">, </w:t>
      </w:r>
      <w:r w:rsidRPr="0026232F">
        <w:rPr>
          <w:rFonts w:cs="Times New Roman"/>
          <w:i/>
          <w:iCs/>
        </w:rPr>
        <w:t>72</w:t>
      </w:r>
      <w:r w:rsidRPr="0026232F">
        <w:rPr>
          <w:rFonts w:cs="Times New Roman"/>
        </w:rPr>
        <w:t>, 102232. https://doi.org/10.1016/j.janxdis.2020.102232</w:t>
      </w:r>
    </w:p>
    <w:p w14:paraId="24BED23B" w14:textId="77777777" w:rsidR="0026232F" w:rsidRPr="0026232F" w:rsidRDefault="0026232F" w:rsidP="0026232F">
      <w:pPr>
        <w:pStyle w:val="Bibliography"/>
        <w:rPr>
          <w:rFonts w:cs="Times New Roman"/>
        </w:rPr>
      </w:pPr>
      <w:r w:rsidRPr="0026232F">
        <w:rPr>
          <w:rFonts w:cs="Times New Roman"/>
        </w:rPr>
        <w:t xml:space="preserve">Ting, I., &amp; Palmer, A. (2020, May 4). </w:t>
      </w:r>
      <w:r w:rsidRPr="0026232F">
        <w:rPr>
          <w:rFonts w:cs="Times New Roman"/>
          <w:i/>
          <w:iCs/>
        </w:rPr>
        <w:t>One hundred days of the coronavirus crisis</w:t>
      </w:r>
      <w:r w:rsidRPr="0026232F">
        <w:rPr>
          <w:rFonts w:cs="Times New Roman"/>
        </w:rPr>
        <w:t xml:space="preserve"> [Text]. ABC News. https://www.abc.net.au/news/2020-05-04/charting-100-days-of-the-coronavirus-crisis-in-australia/12197884</w:t>
      </w:r>
    </w:p>
    <w:p w14:paraId="4793E3AC" w14:textId="77777777" w:rsidR="0026232F" w:rsidRPr="0026232F" w:rsidRDefault="0026232F" w:rsidP="0026232F">
      <w:pPr>
        <w:pStyle w:val="Bibliography"/>
        <w:rPr>
          <w:rFonts w:cs="Times New Roman"/>
        </w:rPr>
      </w:pPr>
      <w:r w:rsidRPr="0026232F">
        <w:rPr>
          <w:rFonts w:cs="Times New Roman"/>
        </w:rPr>
        <w:t xml:space="preserve">Ting, I., Scott, N., &amp; Workman, M. (2020). </w:t>
      </w:r>
      <w:r w:rsidRPr="0026232F">
        <w:rPr>
          <w:rFonts w:cs="Times New Roman"/>
          <w:i/>
          <w:iCs/>
        </w:rPr>
        <w:t>Charting the COVID-19 spread in Australia</w:t>
      </w:r>
      <w:r w:rsidRPr="0026232F">
        <w:rPr>
          <w:rFonts w:cs="Times New Roman"/>
        </w:rPr>
        <w:t>. ABC News. https://www.abc.net.au/news/2020-03-17/coronavirus-cases-data-reveals-how-covid-19-spreads-in-australia/12060704?nw=0</w:t>
      </w:r>
    </w:p>
    <w:p w14:paraId="0F9206D8" w14:textId="77777777" w:rsidR="0026232F" w:rsidRPr="0026232F" w:rsidRDefault="0026232F" w:rsidP="0026232F">
      <w:pPr>
        <w:pStyle w:val="Bibliography"/>
        <w:rPr>
          <w:rFonts w:cs="Times New Roman"/>
        </w:rPr>
      </w:pPr>
      <w:r w:rsidRPr="0026232F">
        <w:rPr>
          <w:rFonts w:cs="Times New Roman"/>
        </w:rPr>
        <w:lastRenderedPageBreak/>
        <w:t xml:space="preserve">Weinberg, M. K., Seton, C., &amp; Cameron, N. (2018). The Measurement of Subjective Wellbeing: Item-Order Effects in the Personal Wellbeing Index—Adult. </w:t>
      </w:r>
      <w:r w:rsidRPr="0026232F">
        <w:rPr>
          <w:rFonts w:cs="Times New Roman"/>
          <w:i/>
          <w:iCs/>
        </w:rPr>
        <w:t>Journal of Happiness Studies</w:t>
      </w:r>
      <w:r w:rsidRPr="0026232F">
        <w:rPr>
          <w:rFonts w:cs="Times New Roman"/>
        </w:rPr>
        <w:t xml:space="preserve">, </w:t>
      </w:r>
      <w:r w:rsidRPr="0026232F">
        <w:rPr>
          <w:rFonts w:cs="Times New Roman"/>
          <w:i/>
          <w:iCs/>
        </w:rPr>
        <w:t>19</w:t>
      </w:r>
      <w:r w:rsidRPr="0026232F">
        <w:rPr>
          <w:rFonts w:cs="Times New Roman"/>
        </w:rPr>
        <w:t>(1), 315–332. https://doi.org/10.1007/s10902-016-9822-1</w:t>
      </w:r>
    </w:p>
    <w:p w14:paraId="701D3946" w14:textId="77777777" w:rsidR="0026232F" w:rsidRPr="0026232F" w:rsidRDefault="0026232F" w:rsidP="0026232F">
      <w:pPr>
        <w:pStyle w:val="Bibliography"/>
        <w:rPr>
          <w:rFonts w:cs="Times New Roman"/>
        </w:rPr>
      </w:pPr>
      <w:r w:rsidRPr="0026232F">
        <w:rPr>
          <w:rFonts w:cs="Times New Roman"/>
        </w:rPr>
        <w:t xml:space="preserve">World Health Organization. (n.d.). </w:t>
      </w:r>
      <w:r w:rsidRPr="0026232F">
        <w:rPr>
          <w:rFonts w:cs="Times New Roman"/>
          <w:i/>
          <w:iCs/>
        </w:rPr>
        <w:t>WHO Disease outbreaks</w:t>
      </w:r>
      <w:r w:rsidRPr="0026232F">
        <w:rPr>
          <w:rFonts w:cs="Times New Roman"/>
        </w:rPr>
        <w:t>. WHO Disease Outbreaks; World Health Organization. Retrieved 6 July 2020, from http://www.who.int/emergencies/diseases/en/</w:t>
      </w:r>
    </w:p>
    <w:p w14:paraId="2C2B2419" w14:textId="77777777" w:rsidR="0026232F" w:rsidRPr="0026232F" w:rsidRDefault="0026232F" w:rsidP="0026232F">
      <w:pPr>
        <w:pStyle w:val="Bibliography"/>
        <w:rPr>
          <w:rFonts w:cs="Times New Roman"/>
        </w:rPr>
      </w:pPr>
      <w:r w:rsidRPr="0026232F">
        <w:rPr>
          <w:rFonts w:cs="Times New Roman"/>
        </w:rPr>
        <w:t xml:space="preserve">Zanon, C., Brenner, R. E., Baptista, M. N., Vogel, D. L., Rubin, M., Al-Darmaki, F. R., Gonçalves, M., Heath, P. J., Liao, H.-Y., Mackenzie, C. S., Topkaya, N., Wade, N. G., &amp; Zlati, A. (2020). Examining the Dimensionality, Reliability, and Invariance of the Depression, Anxiety, and Stress Scale–21 (DASS-21) Across Eight Countries. </w:t>
      </w:r>
      <w:r w:rsidRPr="0026232F">
        <w:rPr>
          <w:rFonts w:cs="Times New Roman"/>
          <w:i/>
          <w:iCs/>
        </w:rPr>
        <w:t>Assessment</w:t>
      </w:r>
      <w:r w:rsidRPr="0026232F">
        <w:rPr>
          <w:rFonts w:cs="Times New Roman"/>
        </w:rPr>
        <w:t>, 107319111988744. https://doi.org/10.1177/1073191119887449</w:t>
      </w:r>
    </w:p>
    <w:p w14:paraId="4D7649F0" w14:textId="348B6B52" w:rsidR="00CB43D5" w:rsidRDefault="003C2202" w:rsidP="003C2202">
      <w:pPr>
        <w:pStyle w:val="Heading1"/>
        <w:numPr>
          <w:ilvl w:val="0"/>
          <w:numId w:val="0"/>
        </w:numPr>
      </w:pPr>
      <w:r>
        <w:fldChar w:fldCharType="end"/>
      </w:r>
      <w:r w:rsidR="00CB43D5">
        <w:t>Conflict of Interest</w:t>
      </w:r>
    </w:p>
    <w:p w14:paraId="57F5D7D1" w14:textId="40887C51" w:rsidR="00CB43D5" w:rsidRPr="003D0CAC" w:rsidRDefault="00CB43D5" w:rsidP="00CB43D5">
      <w:pPr>
        <w:rPr>
          <w:iCs/>
        </w:rPr>
      </w:pPr>
      <w:r w:rsidRPr="003D0CAC">
        <w:rPr>
          <w:rFonts w:eastAsia="Times New Roman" w:cs="Times New Roman"/>
          <w:iCs/>
          <w:szCs w:val="24"/>
          <w:lang w:val="en-GB" w:eastAsia="en-GB"/>
        </w:rPr>
        <w:t>The author declare</w:t>
      </w:r>
      <w:r w:rsidR="003D0CAC" w:rsidRPr="003D0CAC">
        <w:rPr>
          <w:rFonts w:eastAsia="Times New Roman" w:cs="Times New Roman"/>
          <w:iCs/>
          <w:szCs w:val="24"/>
          <w:lang w:val="en-GB" w:eastAsia="en-GB"/>
        </w:rPr>
        <w:t>s</w:t>
      </w:r>
      <w:r w:rsidRPr="003D0CAC">
        <w:rPr>
          <w:rFonts w:eastAsia="Times New Roman" w:cs="Times New Roman"/>
          <w:iCs/>
          <w:szCs w:val="24"/>
          <w:lang w:val="en-GB" w:eastAsia="en-GB"/>
        </w:rPr>
        <w:t xml:space="preserve"> that the research was conducted in the absence of any commercial or financial relationships that could be construed as a potential conflict of interest.</w:t>
      </w:r>
    </w:p>
    <w:p w14:paraId="0D6553A8" w14:textId="77777777" w:rsidR="00045678" w:rsidRDefault="00045678" w:rsidP="00087868">
      <w:pPr>
        <w:pStyle w:val="Heading1"/>
        <w:numPr>
          <w:ilvl w:val="0"/>
          <w:numId w:val="0"/>
        </w:numPr>
        <w:ind w:left="567" w:hanging="567"/>
      </w:pPr>
      <w:r>
        <w:t>Author Contributions</w:t>
      </w:r>
    </w:p>
    <w:p w14:paraId="034708A3" w14:textId="435A06B7" w:rsidR="00045678" w:rsidRPr="00045678" w:rsidRDefault="00315466" w:rsidP="00265660">
      <w:r w:rsidRPr="00315466">
        <w:rPr>
          <w:lang w:val="en-GB"/>
        </w:rPr>
        <w:t>The author confirms being the sole contributor of this work and has approved it for publication.</w:t>
      </w:r>
    </w:p>
    <w:p w14:paraId="59E7FCE8" w14:textId="77777777" w:rsidR="0088513A" w:rsidRPr="0088513A" w:rsidRDefault="0088513A" w:rsidP="00087868">
      <w:pPr>
        <w:pStyle w:val="Heading1"/>
        <w:numPr>
          <w:ilvl w:val="0"/>
          <w:numId w:val="0"/>
        </w:numPr>
        <w:ind w:left="567" w:hanging="567"/>
      </w:pPr>
      <w:r w:rsidRPr="0088513A">
        <w:t>Data Availability Statement</w:t>
      </w:r>
    </w:p>
    <w:p w14:paraId="6DEB18A9" w14:textId="77777777" w:rsidR="00DB3DBF" w:rsidRDefault="00404DA7" w:rsidP="00BD1029">
      <w:pPr>
        <w:rPr>
          <w:rFonts w:cs="Times New Roman"/>
          <w:szCs w:val="24"/>
        </w:rPr>
      </w:pPr>
      <w:r w:rsidRPr="00404DA7">
        <w:rPr>
          <w:rFonts w:cs="Times New Roman"/>
          <w:szCs w:val="24"/>
        </w:rPr>
        <w:t>The raw data supporting the conclusions of this article will be made available by the authors, without undue reservation</w:t>
      </w:r>
      <w:r w:rsidR="0088513A">
        <w:rPr>
          <w:rFonts w:cs="Times New Roman"/>
          <w:szCs w:val="24"/>
        </w:rPr>
        <w:t>.</w:t>
      </w:r>
    </w:p>
    <w:p w14:paraId="57DF9FE0" w14:textId="77777777" w:rsidR="00DB3DBF" w:rsidRDefault="00DB3DBF" w:rsidP="00DB3DBF">
      <w:pPr>
        <w:pStyle w:val="Heading1"/>
        <w:numPr>
          <w:ilvl w:val="0"/>
          <w:numId w:val="0"/>
        </w:numPr>
        <w:tabs>
          <w:tab w:val="left" w:pos="720"/>
        </w:tabs>
      </w:pPr>
      <w:r>
        <w:t>Contribution to the Field Statement</w:t>
      </w:r>
    </w:p>
    <w:p w14:paraId="7469B6E7" w14:textId="484C31D0" w:rsidR="00201458" w:rsidRPr="00AE11BA" w:rsidRDefault="00DB3DBF" w:rsidP="00DB3DBF">
      <w:pPr>
        <w:rPr>
          <w:rFonts w:cs="Times New Roman"/>
          <w:szCs w:val="24"/>
        </w:rPr>
      </w:pPr>
      <w:r>
        <w:t xml:space="preserve">In a highly globalized world, pandemics are inevitable. The presence of a highly contagious disease in the community, combined with its invisibility and fast transmission, can be a significant source of fear. This fear can impact the experience of everyday life and make existing mental and physical health problems worse. The advent of the COVID-19 pandemic has increased contagion-related fear around the world. We need a way of measuring this fear so we can understand how it affects mental and physical health and how we can best treat it. This paper describes the adaption of a contagion-related fear scale used during the most recent, comparable pandemic, the SARS outbreak of 2002-2004. The adapted scale, the Contagion Fear and Threat Scale (CFTS) measures fear of infection and contagion-related existential threat. Unlike other, recently developed measures of the psychological impact of COVID-19, the CFTS it draws directly on the important scale-development work already done during the SARS outbreak, and it can be used in any pandemic, regardless of the disease or the population being investigated, and </w:t>
      </w:r>
      <w:r>
        <w:lastRenderedPageBreak/>
        <w:t>has been validated cross-culturally in Australia, Indian, and Nepali populations. A better understanding of psychological responses to pandemics will help adjust to the ‘new normal’.</w:t>
      </w:r>
      <w:r w:rsidR="00201458">
        <w:rPr>
          <w:rFonts w:cstheme="minorHAnsi"/>
        </w:rPr>
        <w:br w:type="page"/>
      </w:r>
    </w:p>
    <w:p w14:paraId="7860A3DA" w14:textId="092B4B24" w:rsidR="004D0AED" w:rsidRDefault="004D0AED" w:rsidP="00F503F1">
      <w:pPr>
        <w:rPr>
          <w:rFonts w:cstheme="minorHAnsi"/>
        </w:rPr>
      </w:pPr>
      <w:r>
        <w:rPr>
          <w:rFonts w:cstheme="minorHAnsi"/>
        </w:rPr>
        <w:lastRenderedPageBreak/>
        <w:t xml:space="preserve">Table </w:t>
      </w:r>
      <w:r w:rsidR="00950F64">
        <w:rPr>
          <w:rFonts w:cstheme="minorHAnsi"/>
        </w:rPr>
        <w:t>1</w:t>
      </w:r>
      <w:r>
        <w:rPr>
          <w:rFonts w:cstheme="minorHAnsi"/>
        </w:rPr>
        <w:t xml:space="preserve">. </w:t>
      </w:r>
      <w:r w:rsidRPr="00D97396">
        <w:rPr>
          <w:rFonts w:cstheme="minorHAnsi"/>
        </w:rPr>
        <w:t xml:space="preserve">Factor loading for </w:t>
      </w:r>
      <w:r w:rsidR="00C025AE">
        <w:rPr>
          <w:rFonts w:cstheme="minorHAnsi"/>
        </w:rPr>
        <w:t xml:space="preserve">the </w:t>
      </w:r>
      <w:r w:rsidR="000165AC">
        <w:rPr>
          <w:rFonts w:cstheme="minorHAnsi"/>
        </w:rPr>
        <w:t>6</w:t>
      </w:r>
      <w:r w:rsidRPr="00D97396">
        <w:rPr>
          <w:rFonts w:cstheme="minorHAnsi"/>
        </w:rPr>
        <w:t xml:space="preserve">-item </w:t>
      </w:r>
      <w:r w:rsidR="00496DA6">
        <w:rPr>
          <w:rFonts w:cstheme="minorHAnsi"/>
        </w:rPr>
        <w:t>CFTS</w:t>
      </w:r>
      <w:r>
        <w:rPr>
          <w:rFonts w:cstheme="minorHAnsi"/>
        </w:rPr>
        <w:t xml:space="preserve"> in Australian, Indian, and Nepali university student samples.</w:t>
      </w:r>
      <w:r w:rsidR="00216A32" w:rsidRPr="00216A32">
        <w:rPr>
          <w:rFonts w:cstheme="minorHAnsi"/>
          <w:sz w:val="18"/>
          <w:szCs w:val="18"/>
        </w:rPr>
        <w:t xml:space="preserve"> </w:t>
      </w:r>
    </w:p>
    <w:tbl>
      <w:tblPr>
        <w:tblW w:w="8328" w:type="dxa"/>
        <w:tblLayout w:type="fixed"/>
        <w:tblCellMar>
          <w:left w:w="0" w:type="dxa"/>
          <w:right w:w="0" w:type="dxa"/>
        </w:tblCellMar>
        <w:tblLook w:val="0600" w:firstRow="0" w:lastRow="0" w:firstColumn="0" w:lastColumn="0" w:noHBand="1" w:noVBand="1"/>
      </w:tblPr>
      <w:tblGrid>
        <w:gridCol w:w="2976"/>
        <w:gridCol w:w="892"/>
        <w:gridCol w:w="892"/>
        <w:gridCol w:w="892"/>
        <w:gridCol w:w="892"/>
        <w:gridCol w:w="892"/>
        <w:gridCol w:w="892"/>
      </w:tblGrid>
      <w:tr w:rsidR="00894D52" w:rsidRPr="009B0895" w14:paraId="38747D1C" w14:textId="77777777" w:rsidTr="004B205B">
        <w:trPr>
          <w:cantSplit/>
        </w:trPr>
        <w:tc>
          <w:tcPr>
            <w:tcW w:w="2976" w:type="dxa"/>
            <w:tcBorders>
              <w:top w:val="single" w:sz="4" w:space="0" w:color="auto"/>
            </w:tcBorders>
            <w:shd w:val="clear" w:color="auto" w:fill="auto"/>
            <w:vAlign w:val="center"/>
          </w:tcPr>
          <w:p w14:paraId="39D02205" w14:textId="77777777" w:rsidR="00894D52" w:rsidRPr="009B0895" w:rsidRDefault="00894D52" w:rsidP="004B205B">
            <w:pPr>
              <w:rPr>
                <w:rFonts w:cstheme="minorHAnsi"/>
                <w:sz w:val="18"/>
                <w:szCs w:val="18"/>
              </w:rPr>
            </w:pPr>
          </w:p>
        </w:tc>
        <w:tc>
          <w:tcPr>
            <w:tcW w:w="1784" w:type="dxa"/>
            <w:gridSpan w:val="2"/>
            <w:tcBorders>
              <w:top w:val="single" w:sz="4" w:space="0" w:color="auto"/>
              <w:bottom w:val="single" w:sz="4" w:space="0" w:color="auto"/>
            </w:tcBorders>
            <w:shd w:val="clear" w:color="auto" w:fill="auto"/>
            <w:vAlign w:val="center"/>
          </w:tcPr>
          <w:p w14:paraId="5EE6EA7D" w14:textId="5D316624" w:rsidR="00894D52" w:rsidRDefault="00894D52" w:rsidP="004B205B">
            <w:pPr>
              <w:jc w:val="center"/>
              <w:rPr>
                <w:rFonts w:cstheme="minorHAnsi"/>
                <w:sz w:val="18"/>
                <w:szCs w:val="18"/>
              </w:rPr>
            </w:pPr>
            <w:r w:rsidRPr="009B0895">
              <w:rPr>
                <w:rFonts w:cstheme="minorHAnsi"/>
                <w:sz w:val="18"/>
                <w:szCs w:val="18"/>
              </w:rPr>
              <w:t>Australian (</w:t>
            </w:r>
            <w:r w:rsidRPr="009B0895">
              <w:rPr>
                <w:rFonts w:cstheme="minorHAnsi"/>
                <w:i/>
                <w:iCs/>
                <w:sz w:val="18"/>
                <w:szCs w:val="18"/>
              </w:rPr>
              <w:t>n</w:t>
            </w:r>
            <w:r w:rsidR="002B6BC0">
              <w:rPr>
                <w:rFonts w:cstheme="minorHAnsi"/>
                <w:i/>
                <w:iCs/>
                <w:sz w:val="18"/>
                <w:szCs w:val="18"/>
              </w:rPr>
              <w:t xml:space="preserve"> </w:t>
            </w:r>
            <w:r w:rsidRPr="009B0895">
              <w:rPr>
                <w:rFonts w:cstheme="minorHAnsi"/>
                <w:sz w:val="18"/>
                <w:szCs w:val="18"/>
              </w:rPr>
              <w:t>=</w:t>
            </w:r>
            <w:r w:rsidR="002B6BC0">
              <w:rPr>
                <w:rFonts w:cstheme="minorHAnsi"/>
                <w:sz w:val="18"/>
                <w:szCs w:val="18"/>
              </w:rPr>
              <w:t xml:space="preserve"> </w:t>
            </w:r>
            <w:r w:rsidRPr="009B0895">
              <w:rPr>
                <w:rFonts w:cstheme="minorHAnsi"/>
                <w:sz w:val="18"/>
                <w:szCs w:val="18"/>
              </w:rPr>
              <w:t>1</w:t>
            </w:r>
            <w:r w:rsidR="00F952E5">
              <w:rPr>
                <w:rFonts w:cstheme="minorHAnsi"/>
                <w:sz w:val="18"/>
                <w:szCs w:val="18"/>
              </w:rPr>
              <w:t>55</w:t>
            </w:r>
            <w:r w:rsidRPr="009B0895">
              <w:rPr>
                <w:rFonts w:cstheme="minorHAnsi"/>
                <w:sz w:val="18"/>
                <w:szCs w:val="18"/>
              </w:rPr>
              <w:t>)</w:t>
            </w:r>
          </w:p>
        </w:tc>
        <w:tc>
          <w:tcPr>
            <w:tcW w:w="1784" w:type="dxa"/>
            <w:gridSpan w:val="2"/>
            <w:tcBorders>
              <w:top w:val="single" w:sz="4" w:space="0" w:color="auto"/>
              <w:bottom w:val="single" w:sz="4" w:space="0" w:color="auto"/>
            </w:tcBorders>
            <w:shd w:val="clear" w:color="auto" w:fill="auto"/>
            <w:vAlign w:val="center"/>
          </w:tcPr>
          <w:p w14:paraId="3986B1D8" w14:textId="4B285742" w:rsidR="00894D52" w:rsidRDefault="00894D52" w:rsidP="004B205B">
            <w:pPr>
              <w:jc w:val="center"/>
              <w:rPr>
                <w:rFonts w:cstheme="minorHAnsi"/>
                <w:sz w:val="18"/>
                <w:szCs w:val="18"/>
              </w:rPr>
            </w:pPr>
            <w:r w:rsidRPr="009B0895">
              <w:rPr>
                <w:rFonts w:cstheme="minorHAnsi"/>
                <w:sz w:val="18"/>
                <w:szCs w:val="18"/>
              </w:rPr>
              <w:t>Indian (</w:t>
            </w:r>
            <w:r w:rsidRPr="009B0895">
              <w:rPr>
                <w:rFonts w:cstheme="minorHAnsi"/>
                <w:i/>
                <w:iCs/>
                <w:sz w:val="18"/>
                <w:szCs w:val="18"/>
              </w:rPr>
              <w:t>n</w:t>
            </w:r>
            <w:r w:rsidR="002B6BC0">
              <w:rPr>
                <w:rFonts w:cstheme="minorHAnsi"/>
                <w:i/>
                <w:iCs/>
                <w:sz w:val="18"/>
                <w:szCs w:val="18"/>
              </w:rPr>
              <w:t xml:space="preserve"> </w:t>
            </w:r>
            <w:r w:rsidRPr="009B0895">
              <w:rPr>
                <w:rFonts w:cstheme="minorHAnsi"/>
                <w:sz w:val="18"/>
                <w:szCs w:val="18"/>
              </w:rPr>
              <w:t>=</w:t>
            </w:r>
            <w:r w:rsidR="002B6BC0">
              <w:rPr>
                <w:rFonts w:cstheme="minorHAnsi"/>
                <w:sz w:val="18"/>
                <w:szCs w:val="18"/>
              </w:rPr>
              <w:t xml:space="preserve"> </w:t>
            </w:r>
            <w:r w:rsidRPr="009B0895">
              <w:rPr>
                <w:rFonts w:cstheme="minorHAnsi"/>
                <w:sz w:val="18"/>
                <w:szCs w:val="18"/>
              </w:rPr>
              <w:t>111)</w:t>
            </w:r>
          </w:p>
        </w:tc>
        <w:tc>
          <w:tcPr>
            <w:tcW w:w="1784" w:type="dxa"/>
            <w:gridSpan w:val="2"/>
            <w:tcBorders>
              <w:top w:val="single" w:sz="4" w:space="0" w:color="auto"/>
              <w:bottom w:val="single" w:sz="4" w:space="0" w:color="auto"/>
            </w:tcBorders>
            <w:shd w:val="clear" w:color="auto" w:fill="auto"/>
            <w:vAlign w:val="center"/>
          </w:tcPr>
          <w:p w14:paraId="5A3B8545" w14:textId="295B08C6" w:rsidR="00894D52" w:rsidRDefault="00894D52" w:rsidP="004B205B">
            <w:pPr>
              <w:jc w:val="center"/>
              <w:rPr>
                <w:rFonts w:cstheme="minorHAnsi"/>
                <w:sz w:val="18"/>
                <w:szCs w:val="18"/>
              </w:rPr>
            </w:pPr>
            <w:r>
              <w:rPr>
                <w:rFonts w:cstheme="minorHAnsi"/>
                <w:sz w:val="18"/>
                <w:szCs w:val="18"/>
              </w:rPr>
              <w:t>Nepali</w:t>
            </w:r>
            <w:r w:rsidRPr="009B0895">
              <w:rPr>
                <w:rFonts w:cstheme="minorHAnsi"/>
                <w:sz w:val="18"/>
                <w:szCs w:val="18"/>
              </w:rPr>
              <w:t xml:space="preserve"> (</w:t>
            </w:r>
            <w:r w:rsidRPr="009B0895">
              <w:rPr>
                <w:rFonts w:cstheme="minorHAnsi"/>
                <w:i/>
                <w:iCs/>
                <w:sz w:val="18"/>
                <w:szCs w:val="18"/>
              </w:rPr>
              <w:t>n</w:t>
            </w:r>
            <w:r w:rsidR="002B6BC0">
              <w:rPr>
                <w:rFonts w:cstheme="minorHAnsi"/>
                <w:i/>
                <w:iCs/>
                <w:sz w:val="18"/>
                <w:szCs w:val="18"/>
              </w:rPr>
              <w:t xml:space="preserve"> </w:t>
            </w:r>
            <w:r w:rsidRPr="009B0895">
              <w:rPr>
                <w:rFonts w:cstheme="minorHAnsi"/>
                <w:sz w:val="18"/>
                <w:szCs w:val="18"/>
              </w:rPr>
              <w:t>=</w:t>
            </w:r>
            <w:r w:rsidR="002B6BC0">
              <w:rPr>
                <w:rFonts w:cstheme="minorHAnsi"/>
                <w:sz w:val="18"/>
                <w:szCs w:val="18"/>
              </w:rPr>
              <w:t xml:space="preserve"> </w:t>
            </w:r>
            <w:r w:rsidRPr="009B0895">
              <w:rPr>
                <w:rFonts w:cstheme="minorHAnsi"/>
                <w:sz w:val="18"/>
                <w:szCs w:val="18"/>
              </w:rPr>
              <w:t>14</w:t>
            </w:r>
            <w:r w:rsidR="002F2C5F">
              <w:rPr>
                <w:rFonts w:cstheme="minorHAnsi"/>
                <w:sz w:val="18"/>
                <w:szCs w:val="18"/>
              </w:rPr>
              <w:t>8</w:t>
            </w:r>
            <w:r w:rsidRPr="009B0895">
              <w:rPr>
                <w:rFonts w:cstheme="minorHAnsi"/>
                <w:sz w:val="18"/>
                <w:szCs w:val="18"/>
              </w:rPr>
              <w:t>)</w:t>
            </w:r>
          </w:p>
        </w:tc>
      </w:tr>
      <w:tr w:rsidR="00894D52" w:rsidRPr="009B0895" w14:paraId="1C2B3B05" w14:textId="77777777" w:rsidTr="004B205B">
        <w:trPr>
          <w:cantSplit/>
        </w:trPr>
        <w:tc>
          <w:tcPr>
            <w:tcW w:w="2976" w:type="dxa"/>
            <w:tcBorders>
              <w:bottom w:val="single" w:sz="4" w:space="0" w:color="auto"/>
            </w:tcBorders>
            <w:shd w:val="clear" w:color="auto" w:fill="auto"/>
            <w:vAlign w:val="center"/>
          </w:tcPr>
          <w:p w14:paraId="245BB87D" w14:textId="77777777" w:rsidR="00894D52" w:rsidRPr="009B0895" w:rsidRDefault="00894D52" w:rsidP="004B205B">
            <w:pPr>
              <w:rPr>
                <w:rFonts w:cstheme="minorHAnsi"/>
                <w:sz w:val="18"/>
                <w:szCs w:val="18"/>
              </w:rPr>
            </w:pPr>
          </w:p>
        </w:tc>
        <w:tc>
          <w:tcPr>
            <w:tcW w:w="892" w:type="dxa"/>
            <w:tcBorders>
              <w:top w:val="single" w:sz="4" w:space="0" w:color="auto"/>
              <w:bottom w:val="single" w:sz="4" w:space="0" w:color="auto"/>
            </w:tcBorders>
            <w:shd w:val="clear" w:color="auto" w:fill="auto"/>
            <w:vAlign w:val="center"/>
          </w:tcPr>
          <w:p w14:paraId="6DC1684D" w14:textId="77777777" w:rsidR="00894D52" w:rsidRPr="009B0895" w:rsidRDefault="00894D52" w:rsidP="004B205B">
            <w:pPr>
              <w:jc w:val="center"/>
              <w:rPr>
                <w:rFonts w:cstheme="minorHAnsi"/>
                <w:sz w:val="18"/>
                <w:szCs w:val="18"/>
              </w:rPr>
            </w:pPr>
            <w:r>
              <w:rPr>
                <w:rFonts w:cstheme="minorHAnsi"/>
                <w:sz w:val="18"/>
                <w:szCs w:val="18"/>
              </w:rPr>
              <w:t>Threat</w:t>
            </w:r>
          </w:p>
        </w:tc>
        <w:tc>
          <w:tcPr>
            <w:tcW w:w="892" w:type="dxa"/>
            <w:tcBorders>
              <w:top w:val="single" w:sz="4" w:space="0" w:color="auto"/>
              <w:bottom w:val="single" w:sz="4" w:space="0" w:color="auto"/>
            </w:tcBorders>
            <w:shd w:val="clear" w:color="auto" w:fill="auto"/>
            <w:vAlign w:val="center"/>
          </w:tcPr>
          <w:p w14:paraId="2FCB4A75" w14:textId="77777777" w:rsidR="00894D52" w:rsidRPr="009B0895" w:rsidRDefault="00894D52" w:rsidP="004B205B">
            <w:pPr>
              <w:jc w:val="center"/>
              <w:rPr>
                <w:rFonts w:cstheme="minorHAnsi"/>
                <w:sz w:val="18"/>
                <w:szCs w:val="18"/>
              </w:rPr>
            </w:pPr>
            <w:r>
              <w:rPr>
                <w:rFonts w:cstheme="minorHAnsi"/>
                <w:sz w:val="18"/>
                <w:szCs w:val="18"/>
              </w:rPr>
              <w:t>Fear</w:t>
            </w:r>
          </w:p>
        </w:tc>
        <w:tc>
          <w:tcPr>
            <w:tcW w:w="892" w:type="dxa"/>
            <w:tcBorders>
              <w:top w:val="single" w:sz="4" w:space="0" w:color="auto"/>
              <w:bottom w:val="single" w:sz="4" w:space="0" w:color="auto"/>
            </w:tcBorders>
            <w:shd w:val="clear" w:color="auto" w:fill="auto"/>
            <w:vAlign w:val="center"/>
          </w:tcPr>
          <w:p w14:paraId="4A61B078" w14:textId="77777777" w:rsidR="00894D52" w:rsidRPr="009B0895" w:rsidRDefault="00894D52" w:rsidP="004B205B">
            <w:pPr>
              <w:jc w:val="center"/>
              <w:rPr>
                <w:rFonts w:cstheme="minorHAnsi"/>
                <w:sz w:val="18"/>
                <w:szCs w:val="18"/>
              </w:rPr>
            </w:pPr>
            <w:r>
              <w:rPr>
                <w:rFonts w:cstheme="minorHAnsi"/>
                <w:sz w:val="18"/>
                <w:szCs w:val="18"/>
              </w:rPr>
              <w:t>Threat</w:t>
            </w:r>
          </w:p>
        </w:tc>
        <w:tc>
          <w:tcPr>
            <w:tcW w:w="892" w:type="dxa"/>
            <w:tcBorders>
              <w:top w:val="single" w:sz="4" w:space="0" w:color="auto"/>
              <w:bottom w:val="single" w:sz="4" w:space="0" w:color="auto"/>
            </w:tcBorders>
            <w:shd w:val="clear" w:color="auto" w:fill="auto"/>
            <w:vAlign w:val="center"/>
          </w:tcPr>
          <w:p w14:paraId="20BBB999" w14:textId="77777777" w:rsidR="00894D52" w:rsidRPr="009B0895" w:rsidRDefault="00894D52" w:rsidP="004B205B">
            <w:pPr>
              <w:jc w:val="center"/>
              <w:rPr>
                <w:rFonts w:cstheme="minorHAnsi"/>
                <w:sz w:val="18"/>
                <w:szCs w:val="18"/>
              </w:rPr>
            </w:pPr>
            <w:r>
              <w:rPr>
                <w:rFonts w:cstheme="minorHAnsi"/>
                <w:sz w:val="18"/>
                <w:szCs w:val="18"/>
              </w:rPr>
              <w:t>Fear</w:t>
            </w:r>
          </w:p>
        </w:tc>
        <w:tc>
          <w:tcPr>
            <w:tcW w:w="892" w:type="dxa"/>
            <w:tcBorders>
              <w:top w:val="single" w:sz="4" w:space="0" w:color="auto"/>
              <w:bottom w:val="single" w:sz="4" w:space="0" w:color="auto"/>
            </w:tcBorders>
            <w:shd w:val="clear" w:color="auto" w:fill="auto"/>
            <w:vAlign w:val="center"/>
          </w:tcPr>
          <w:p w14:paraId="1361294E" w14:textId="77777777" w:rsidR="00894D52" w:rsidRPr="009B0895" w:rsidRDefault="00894D52" w:rsidP="004B205B">
            <w:pPr>
              <w:jc w:val="center"/>
              <w:rPr>
                <w:rFonts w:cstheme="minorHAnsi"/>
                <w:sz w:val="18"/>
                <w:szCs w:val="18"/>
              </w:rPr>
            </w:pPr>
            <w:r>
              <w:rPr>
                <w:rFonts w:cstheme="minorHAnsi"/>
                <w:sz w:val="18"/>
                <w:szCs w:val="18"/>
              </w:rPr>
              <w:t>Threat</w:t>
            </w:r>
          </w:p>
        </w:tc>
        <w:tc>
          <w:tcPr>
            <w:tcW w:w="892" w:type="dxa"/>
            <w:tcBorders>
              <w:top w:val="single" w:sz="4" w:space="0" w:color="auto"/>
              <w:bottom w:val="single" w:sz="4" w:space="0" w:color="auto"/>
            </w:tcBorders>
            <w:shd w:val="clear" w:color="auto" w:fill="auto"/>
            <w:vAlign w:val="center"/>
          </w:tcPr>
          <w:p w14:paraId="117A4EBC" w14:textId="77777777" w:rsidR="00894D52" w:rsidRPr="009B0895" w:rsidRDefault="00894D52" w:rsidP="004B205B">
            <w:pPr>
              <w:jc w:val="center"/>
              <w:rPr>
                <w:rFonts w:cstheme="minorHAnsi"/>
                <w:sz w:val="18"/>
                <w:szCs w:val="18"/>
              </w:rPr>
            </w:pPr>
            <w:r>
              <w:rPr>
                <w:rFonts w:cstheme="minorHAnsi"/>
                <w:sz w:val="18"/>
                <w:szCs w:val="18"/>
              </w:rPr>
              <w:t>Fear</w:t>
            </w:r>
          </w:p>
        </w:tc>
      </w:tr>
      <w:tr w:rsidR="00894D52" w:rsidRPr="009B0895" w14:paraId="668886D5" w14:textId="77777777" w:rsidTr="004B205B">
        <w:trPr>
          <w:cantSplit/>
        </w:trPr>
        <w:tc>
          <w:tcPr>
            <w:tcW w:w="2976" w:type="dxa"/>
            <w:tcBorders>
              <w:top w:val="single" w:sz="4" w:space="0" w:color="auto"/>
            </w:tcBorders>
            <w:shd w:val="clear" w:color="auto" w:fill="auto"/>
            <w:vAlign w:val="center"/>
          </w:tcPr>
          <w:p w14:paraId="7E6FE7AD" w14:textId="77777777" w:rsidR="00894D52" w:rsidRPr="009B0895" w:rsidRDefault="00894D52" w:rsidP="004B205B">
            <w:pPr>
              <w:rPr>
                <w:rFonts w:cstheme="minorHAnsi"/>
                <w:sz w:val="18"/>
                <w:szCs w:val="18"/>
              </w:rPr>
            </w:pPr>
            <w:r w:rsidRPr="009B0895">
              <w:rPr>
                <w:rFonts w:cstheme="minorHAnsi"/>
                <w:sz w:val="18"/>
                <w:szCs w:val="18"/>
              </w:rPr>
              <w:t>Fear that I will be infected</w:t>
            </w:r>
          </w:p>
        </w:tc>
        <w:tc>
          <w:tcPr>
            <w:tcW w:w="892" w:type="dxa"/>
            <w:tcBorders>
              <w:top w:val="single" w:sz="4" w:space="0" w:color="auto"/>
            </w:tcBorders>
            <w:shd w:val="clear" w:color="auto" w:fill="auto"/>
            <w:vAlign w:val="center"/>
          </w:tcPr>
          <w:p w14:paraId="2617E6AA" w14:textId="70623482" w:rsidR="00894D52" w:rsidRPr="005E7912" w:rsidRDefault="00214330" w:rsidP="004B205B">
            <w:pPr>
              <w:jc w:val="center"/>
              <w:rPr>
                <w:rFonts w:cstheme="minorHAnsi"/>
                <w:sz w:val="18"/>
                <w:szCs w:val="18"/>
              </w:rPr>
            </w:pPr>
            <w:r>
              <w:rPr>
                <w:rFonts w:cstheme="minorHAnsi"/>
                <w:sz w:val="18"/>
                <w:szCs w:val="18"/>
              </w:rPr>
              <w:t>.08</w:t>
            </w:r>
          </w:p>
        </w:tc>
        <w:tc>
          <w:tcPr>
            <w:tcW w:w="892" w:type="dxa"/>
            <w:tcBorders>
              <w:top w:val="single" w:sz="4" w:space="0" w:color="auto"/>
            </w:tcBorders>
            <w:shd w:val="clear" w:color="auto" w:fill="auto"/>
            <w:vAlign w:val="center"/>
          </w:tcPr>
          <w:p w14:paraId="7DF8C353" w14:textId="27CD647C" w:rsidR="00894D52" w:rsidRPr="005E7912" w:rsidRDefault="001A7A59" w:rsidP="004B205B">
            <w:pPr>
              <w:jc w:val="center"/>
              <w:rPr>
                <w:rFonts w:cstheme="minorHAnsi"/>
                <w:b/>
                <w:bCs/>
                <w:sz w:val="18"/>
                <w:szCs w:val="18"/>
              </w:rPr>
            </w:pPr>
            <w:r>
              <w:rPr>
                <w:rFonts w:cstheme="minorHAnsi"/>
                <w:b/>
                <w:bCs/>
                <w:sz w:val="18"/>
                <w:szCs w:val="18"/>
              </w:rPr>
              <w:t>.</w:t>
            </w:r>
            <w:r w:rsidR="00A15B2A">
              <w:rPr>
                <w:rFonts w:cstheme="minorHAnsi"/>
                <w:b/>
                <w:bCs/>
                <w:sz w:val="18"/>
                <w:szCs w:val="18"/>
              </w:rPr>
              <w:t>63</w:t>
            </w:r>
          </w:p>
        </w:tc>
        <w:tc>
          <w:tcPr>
            <w:tcW w:w="892" w:type="dxa"/>
            <w:tcBorders>
              <w:top w:val="single" w:sz="4" w:space="0" w:color="auto"/>
            </w:tcBorders>
            <w:shd w:val="clear" w:color="auto" w:fill="auto"/>
            <w:vAlign w:val="center"/>
          </w:tcPr>
          <w:p w14:paraId="43D38753" w14:textId="2FA24700" w:rsidR="00894D52" w:rsidRPr="005E7912" w:rsidRDefault="005F3E4E" w:rsidP="004B205B">
            <w:pPr>
              <w:jc w:val="center"/>
              <w:rPr>
                <w:rFonts w:cstheme="minorHAnsi"/>
                <w:sz w:val="18"/>
                <w:szCs w:val="18"/>
              </w:rPr>
            </w:pPr>
            <w:r>
              <w:rPr>
                <w:rFonts w:cstheme="minorHAnsi"/>
                <w:sz w:val="18"/>
                <w:szCs w:val="18"/>
              </w:rPr>
              <w:t>.13</w:t>
            </w:r>
          </w:p>
        </w:tc>
        <w:tc>
          <w:tcPr>
            <w:tcW w:w="892" w:type="dxa"/>
            <w:tcBorders>
              <w:top w:val="single" w:sz="4" w:space="0" w:color="auto"/>
            </w:tcBorders>
            <w:shd w:val="clear" w:color="auto" w:fill="auto"/>
            <w:vAlign w:val="center"/>
          </w:tcPr>
          <w:p w14:paraId="24FB596A" w14:textId="6A577BDF" w:rsidR="00894D52" w:rsidRPr="005E7912" w:rsidRDefault="003E6326" w:rsidP="004B205B">
            <w:pPr>
              <w:jc w:val="center"/>
              <w:rPr>
                <w:rFonts w:cstheme="minorHAnsi"/>
                <w:b/>
                <w:bCs/>
                <w:sz w:val="18"/>
                <w:szCs w:val="18"/>
              </w:rPr>
            </w:pPr>
            <w:r>
              <w:rPr>
                <w:rFonts w:cstheme="minorHAnsi"/>
                <w:b/>
                <w:bCs/>
                <w:sz w:val="18"/>
                <w:szCs w:val="18"/>
              </w:rPr>
              <w:t>.70</w:t>
            </w:r>
          </w:p>
        </w:tc>
        <w:tc>
          <w:tcPr>
            <w:tcW w:w="892" w:type="dxa"/>
            <w:tcBorders>
              <w:top w:val="single" w:sz="4" w:space="0" w:color="auto"/>
            </w:tcBorders>
            <w:shd w:val="clear" w:color="auto" w:fill="auto"/>
            <w:vAlign w:val="center"/>
          </w:tcPr>
          <w:p w14:paraId="36A635DB" w14:textId="34DAFF01" w:rsidR="00894D52" w:rsidRPr="005E7912" w:rsidRDefault="00887494" w:rsidP="004B205B">
            <w:pPr>
              <w:jc w:val="center"/>
              <w:rPr>
                <w:rFonts w:cstheme="minorHAnsi"/>
                <w:sz w:val="18"/>
                <w:szCs w:val="18"/>
              </w:rPr>
            </w:pPr>
            <w:r>
              <w:rPr>
                <w:rFonts w:cstheme="minorHAnsi"/>
                <w:sz w:val="18"/>
                <w:szCs w:val="18"/>
              </w:rPr>
              <w:t>-.01</w:t>
            </w:r>
          </w:p>
        </w:tc>
        <w:tc>
          <w:tcPr>
            <w:tcW w:w="892" w:type="dxa"/>
            <w:tcBorders>
              <w:top w:val="single" w:sz="4" w:space="0" w:color="auto"/>
            </w:tcBorders>
            <w:shd w:val="clear" w:color="auto" w:fill="auto"/>
            <w:vAlign w:val="center"/>
          </w:tcPr>
          <w:p w14:paraId="216CD087" w14:textId="54F5BE9F" w:rsidR="00894D52" w:rsidRPr="00482F9B" w:rsidRDefault="00906BA9" w:rsidP="004B205B">
            <w:pPr>
              <w:jc w:val="center"/>
              <w:rPr>
                <w:rFonts w:cstheme="minorHAnsi"/>
                <w:b/>
                <w:bCs/>
                <w:sz w:val="18"/>
                <w:szCs w:val="18"/>
              </w:rPr>
            </w:pPr>
            <w:r w:rsidRPr="00482F9B">
              <w:rPr>
                <w:rFonts w:cstheme="minorHAnsi"/>
                <w:b/>
                <w:bCs/>
                <w:sz w:val="18"/>
                <w:szCs w:val="18"/>
              </w:rPr>
              <w:t>.77</w:t>
            </w:r>
          </w:p>
        </w:tc>
      </w:tr>
      <w:tr w:rsidR="00894D52" w:rsidRPr="009B0895" w14:paraId="6B611ADE" w14:textId="77777777" w:rsidTr="004B205B">
        <w:trPr>
          <w:cantSplit/>
        </w:trPr>
        <w:tc>
          <w:tcPr>
            <w:tcW w:w="2976" w:type="dxa"/>
            <w:shd w:val="clear" w:color="auto" w:fill="auto"/>
            <w:vAlign w:val="center"/>
          </w:tcPr>
          <w:p w14:paraId="6B2AFE29" w14:textId="77777777" w:rsidR="00894D52" w:rsidRPr="009B0895" w:rsidRDefault="00894D52" w:rsidP="004B205B">
            <w:pPr>
              <w:rPr>
                <w:rFonts w:cstheme="minorHAnsi"/>
                <w:sz w:val="18"/>
                <w:szCs w:val="18"/>
              </w:rPr>
            </w:pPr>
            <w:r w:rsidRPr="009B0895">
              <w:rPr>
                <w:rFonts w:cstheme="minorHAnsi"/>
                <w:sz w:val="18"/>
                <w:szCs w:val="18"/>
              </w:rPr>
              <w:t>Fear that I will infect others</w:t>
            </w:r>
          </w:p>
        </w:tc>
        <w:tc>
          <w:tcPr>
            <w:tcW w:w="892" w:type="dxa"/>
            <w:shd w:val="clear" w:color="auto" w:fill="auto"/>
            <w:vAlign w:val="center"/>
          </w:tcPr>
          <w:p w14:paraId="6B6562B4" w14:textId="1C00A6C5" w:rsidR="00894D52" w:rsidRPr="005E7912" w:rsidRDefault="00214330" w:rsidP="004B205B">
            <w:pPr>
              <w:jc w:val="center"/>
              <w:rPr>
                <w:rFonts w:cstheme="minorHAnsi"/>
                <w:sz w:val="18"/>
                <w:szCs w:val="18"/>
              </w:rPr>
            </w:pPr>
            <w:r>
              <w:rPr>
                <w:rFonts w:cstheme="minorHAnsi"/>
                <w:sz w:val="18"/>
                <w:szCs w:val="18"/>
              </w:rPr>
              <w:t>-.11</w:t>
            </w:r>
          </w:p>
        </w:tc>
        <w:tc>
          <w:tcPr>
            <w:tcW w:w="892" w:type="dxa"/>
            <w:shd w:val="clear" w:color="auto" w:fill="auto"/>
            <w:vAlign w:val="center"/>
          </w:tcPr>
          <w:p w14:paraId="2B887E51" w14:textId="0AB73872" w:rsidR="00894D52" w:rsidRPr="005E7912" w:rsidRDefault="00A15B2A" w:rsidP="004B205B">
            <w:pPr>
              <w:jc w:val="center"/>
              <w:rPr>
                <w:rFonts w:cstheme="minorHAnsi"/>
                <w:b/>
                <w:bCs/>
                <w:sz w:val="18"/>
                <w:szCs w:val="18"/>
              </w:rPr>
            </w:pPr>
            <w:r>
              <w:rPr>
                <w:rFonts w:cstheme="minorHAnsi"/>
                <w:b/>
                <w:bCs/>
                <w:sz w:val="18"/>
                <w:szCs w:val="18"/>
              </w:rPr>
              <w:t>.75</w:t>
            </w:r>
          </w:p>
        </w:tc>
        <w:tc>
          <w:tcPr>
            <w:tcW w:w="892" w:type="dxa"/>
            <w:shd w:val="clear" w:color="auto" w:fill="auto"/>
            <w:vAlign w:val="center"/>
          </w:tcPr>
          <w:p w14:paraId="19550E25" w14:textId="36DA8DD4" w:rsidR="00894D52" w:rsidRPr="005E7912" w:rsidRDefault="005F3E4E" w:rsidP="004B205B">
            <w:pPr>
              <w:jc w:val="center"/>
              <w:rPr>
                <w:rFonts w:cstheme="minorHAnsi"/>
                <w:sz w:val="18"/>
                <w:szCs w:val="18"/>
              </w:rPr>
            </w:pPr>
            <w:r>
              <w:rPr>
                <w:rFonts w:cstheme="minorHAnsi"/>
                <w:sz w:val="18"/>
                <w:szCs w:val="18"/>
              </w:rPr>
              <w:t>-.14</w:t>
            </w:r>
          </w:p>
        </w:tc>
        <w:tc>
          <w:tcPr>
            <w:tcW w:w="892" w:type="dxa"/>
            <w:shd w:val="clear" w:color="auto" w:fill="auto"/>
            <w:vAlign w:val="center"/>
          </w:tcPr>
          <w:p w14:paraId="6F0C4DDF" w14:textId="7C2D4547" w:rsidR="00894D52" w:rsidRPr="005E7912" w:rsidRDefault="003E6326" w:rsidP="004B205B">
            <w:pPr>
              <w:jc w:val="center"/>
              <w:rPr>
                <w:rFonts w:cstheme="minorHAnsi"/>
                <w:b/>
                <w:bCs/>
                <w:sz w:val="18"/>
                <w:szCs w:val="18"/>
              </w:rPr>
            </w:pPr>
            <w:r>
              <w:rPr>
                <w:rFonts w:cstheme="minorHAnsi"/>
                <w:b/>
                <w:bCs/>
                <w:sz w:val="18"/>
                <w:szCs w:val="18"/>
              </w:rPr>
              <w:t>.94</w:t>
            </w:r>
          </w:p>
        </w:tc>
        <w:tc>
          <w:tcPr>
            <w:tcW w:w="892" w:type="dxa"/>
            <w:shd w:val="clear" w:color="auto" w:fill="auto"/>
            <w:vAlign w:val="center"/>
          </w:tcPr>
          <w:p w14:paraId="15AED6AB" w14:textId="70B1AADD" w:rsidR="00894D52" w:rsidRPr="005E7912" w:rsidRDefault="00887494" w:rsidP="004B205B">
            <w:pPr>
              <w:jc w:val="center"/>
              <w:rPr>
                <w:rFonts w:cstheme="minorHAnsi"/>
                <w:sz w:val="18"/>
                <w:szCs w:val="18"/>
              </w:rPr>
            </w:pPr>
            <w:r>
              <w:rPr>
                <w:rFonts w:cstheme="minorHAnsi"/>
                <w:sz w:val="18"/>
                <w:szCs w:val="18"/>
              </w:rPr>
              <w:t>.03</w:t>
            </w:r>
          </w:p>
        </w:tc>
        <w:tc>
          <w:tcPr>
            <w:tcW w:w="892" w:type="dxa"/>
            <w:shd w:val="clear" w:color="auto" w:fill="auto"/>
            <w:vAlign w:val="center"/>
          </w:tcPr>
          <w:p w14:paraId="6F6E0921" w14:textId="5540FBFE" w:rsidR="00894D52" w:rsidRPr="00482F9B" w:rsidRDefault="00906BA9" w:rsidP="004B205B">
            <w:pPr>
              <w:jc w:val="center"/>
              <w:rPr>
                <w:rFonts w:cstheme="minorHAnsi"/>
                <w:b/>
                <w:bCs/>
                <w:sz w:val="18"/>
                <w:szCs w:val="18"/>
              </w:rPr>
            </w:pPr>
            <w:r w:rsidRPr="00482F9B">
              <w:rPr>
                <w:rFonts w:cstheme="minorHAnsi"/>
                <w:b/>
                <w:bCs/>
                <w:sz w:val="18"/>
                <w:szCs w:val="18"/>
              </w:rPr>
              <w:t>.65</w:t>
            </w:r>
          </w:p>
        </w:tc>
      </w:tr>
      <w:tr w:rsidR="00B672BE" w:rsidRPr="009B0895" w14:paraId="108D1E9A" w14:textId="77777777" w:rsidTr="004B205B">
        <w:trPr>
          <w:cantSplit/>
        </w:trPr>
        <w:tc>
          <w:tcPr>
            <w:tcW w:w="2976" w:type="dxa"/>
            <w:shd w:val="clear" w:color="auto" w:fill="auto"/>
            <w:vAlign w:val="center"/>
          </w:tcPr>
          <w:p w14:paraId="47FFC1D1" w14:textId="7D5CF543" w:rsidR="00B672BE" w:rsidRPr="009B0895" w:rsidRDefault="00B672BE" w:rsidP="004B205B">
            <w:pPr>
              <w:rPr>
                <w:rFonts w:cstheme="minorHAnsi"/>
                <w:sz w:val="18"/>
                <w:szCs w:val="18"/>
              </w:rPr>
            </w:pPr>
            <w:r w:rsidRPr="009B0895">
              <w:rPr>
                <w:rFonts w:cstheme="minorHAnsi"/>
                <w:sz w:val="18"/>
                <w:szCs w:val="18"/>
              </w:rPr>
              <w:t>Worry that my family will be infected</w:t>
            </w:r>
          </w:p>
        </w:tc>
        <w:tc>
          <w:tcPr>
            <w:tcW w:w="892" w:type="dxa"/>
            <w:shd w:val="clear" w:color="auto" w:fill="auto"/>
            <w:vAlign w:val="center"/>
          </w:tcPr>
          <w:p w14:paraId="39BB4671" w14:textId="723A0313" w:rsidR="00B672BE" w:rsidRDefault="00B672BE" w:rsidP="004B205B">
            <w:pPr>
              <w:jc w:val="center"/>
              <w:rPr>
                <w:rFonts w:cstheme="minorHAnsi"/>
                <w:sz w:val="18"/>
                <w:szCs w:val="18"/>
              </w:rPr>
            </w:pPr>
            <w:r>
              <w:rPr>
                <w:rFonts w:cstheme="minorHAnsi"/>
                <w:sz w:val="18"/>
                <w:szCs w:val="18"/>
              </w:rPr>
              <w:t>.04</w:t>
            </w:r>
          </w:p>
        </w:tc>
        <w:tc>
          <w:tcPr>
            <w:tcW w:w="892" w:type="dxa"/>
            <w:shd w:val="clear" w:color="auto" w:fill="auto"/>
            <w:vAlign w:val="center"/>
          </w:tcPr>
          <w:p w14:paraId="608A3CE2" w14:textId="3694D3EF" w:rsidR="00B672BE" w:rsidRDefault="00B672BE" w:rsidP="004B205B">
            <w:pPr>
              <w:jc w:val="center"/>
              <w:rPr>
                <w:rFonts w:cstheme="minorHAnsi"/>
                <w:b/>
                <w:bCs/>
                <w:sz w:val="18"/>
                <w:szCs w:val="18"/>
              </w:rPr>
            </w:pPr>
            <w:r>
              <w:rPr>
                <w:rFonts w:cstheme="minorHAnsi"/>
                <w:b/>
                <w:bCs/>
                <w:sz w:val="18"/>
                <w:szCs w:val="18"/>
              </w:rPr>
              <w:t>.71</w:t>
            </w:r>
          </w:p>
        </w:tc>
        <w:tc>
          <w:tcPr>
            <w:tcW w:w="892" w:type="dxa"/>
            <w:shd w:val="clear" w:color="auto" w:fill="auto"/>
            <w:vAlign w:val="center"/>
          </w:tcPr>
          <w:p w14:paraId="324E9028" w14:textId="06933E30" w:rsidR="00B672BE" w:rsidRDefault="00B672BE" w:rsidP="004B205B">
            <w:pPr>
              <w:jc w:val="center"/>
              <w:rPr>
                <w:rFonts w:cstheme="minorHAnsi"/>
                <w:sz w:val="18"/>
                <w:szCs w:val="18"/>
              </w:rPr>
            </w:pPr>
            <w:r>
              <w:rPr>
                <w:rFonts w:cstheme="minorHAnsi"/>
                <w:sz w:val="18"/>
                <w:szCs w:val="18"/>
              </w:rPr>
              <w:t>.06</w:t>
            </w:r>
          </w:p>
        </w:tc>
        <w:tc>
          <w:tcPr>
            <w:tcW w:w="892" w:type="dxa"/>
            <w:shd w:val="clear" w:color="auto" w:fill="auto"/>
            <w:vAlign w:val="center"/>
          </w:tcPr>
          <w:p w14:paraId="0AFD1125" w14:textId="59C55A0E" w:rsidR="00B672BE" w:rsidRDefault="00B672BE" w:rsidP="004B205B">
            <w:pPr>
              <w:jc w:val="center"/>
              <w:rPr>
                <w:rFonts w:cstheme="minorHAnsi"/>
                <w:b/>
                <w:bCs/>
                <w:sz w:val="18"/>
                <w:szCs w:val="18"/>
              </w:rPr>
            </w:pPr>
            <w:r>
              <w:rPr>
                <w:rFonts w:cstheme="minorHAnsi"/>
                <w:b/>
                <w:bCs/>
                <w:sz w:val="18"/>
                <w:szCs w:val="18"/>
              </w:rPr>
              <w:t>.45</w:t>
            </w:r>
          </w:p>
        </w:tc>
        <w:tc>
          <w:tcPr>
            <w:tcW w:w="892" w:type="dxa"/>
            <w:shd w:val="clear" w:color="auto" w:fill="auto"/>
            <w:vAlign w:val="center"/>
          </w:tcPr>
          <w:p w14:paraId="29877E47" w14:textId="031CA1C8" w:rsidR="00B672BE" w:rsidRDefault="00B672BE" w:rsidP="004B205B">
            <w:pPr>
              <w:jc w:val="center"/>
              <w:rPr>
                <w:rFonts w:cstheme="minorHAnsi"/>
                <w:sz w:val="18"/>
                <w:szCs w:val="18"/>
              </w:rPr>
            </w:pPr>
            <w:r>
              <w:rPr>
                <w:rFonts w:cstheme="minorHAnsi"/>
                <w:sz w:val="18"/>
                <w:szCs w:val="18"/>
              </w:rPr>
              <w:t>.01</w:t>
            </w:r>
          </w:p>
        </w:tc>
        <w:tc>
          <w:tcPr>
            <w:tcW w:w="892" w:type="dxa"/>
            <w:shd w:val="clear" w:color="auto" w:fill="auto"/>
            <w:vAlign w:val="center"/>
          </w:tcPr>
          <w:p w14:paraId="4E04285C" w14:textId="7C772F33" w:rsidR="00B672BE" w:rsidRPr="00482F9B" w:rsidRDefault="00B672BE" w:rsidP="004B205B">
            <w:pPr>
              <w:jc w:val="center"/>
              <w:rPr>
                <w:rFonts w:cstheme="minorHAnsi"/>
                <w:b/>
                <w:bCs/>
                <w:sz w:val="18"/>
                <w:szCs w:val="18"/>
              </w:rPr>
            </w:pPr>
            <w:r>
              <w:rPr>
                <w:rFonts w:cstheme="minorHAnsi"/>
                <w:b/>
                <w:bCs/>
                <w:sz w:val="18"/>
                <w:szCs w:val="18"/>
              </w:rPr>
              <w:t>.40</w:t>
            </w:r>
          </w:p>
        </w:tc>
      </w:tr>
      <w:tr w:rsidR="00B672BE" w:rsidRPr="009B0895" w14:paraId="0A141D93" w14:textId="77777777" w:rsidTr="004B205B">
        <w:trPr>
          <w:cantSplit/>
        </w:trPr>
        <w:tc>
          <w:tcPr>
            <w:tcW w:w="2976" w:type="dxa"/>
            <w:shd w:val="clear" w:color="auto" w:fill="auto"/>
            <w:vAlign w:val="center"/>
          </w:tcPr>
          <w:p w14:paraId="6ADDBC24" w14:textId="77777777" w:rsidR="00B672BE" w:rsidRPr="009B0895" w:rsidRDefault="00B672BE" w:rsidP="004B205B">
            <w:pPr>
              <w:rPr>
                <w:rFonts w:cstheme="minorHAnsi"/>
                <w:sz w:val="18"/>
                <w:szCs w:val="18"/>
              </w:rPr>
            </w:pPr>
            <w:r w:rsidRPr="009B0895">
              <w:rPr>
                <w:rFonts w:cstheme="minorHAnsi"/>
                <w:sz w:val="18"/>
                <w:szCs w:val="18"/>
              </w:rPr>
              <w:t>Feel very unsafe about my</w:t>
            </w:r>
            <w:r>
              <w:rPr>
                <w:rFonts w:cstheme="minorHAnsi"/>
                <w:sz w:val="18"/>
                <w:szCs w:val="18"/>
              </w:rPr>
              <w:t xml:space="preserve"> </w:t>
            </w:r>
            <w:r w:rsidRPr="009B0895">
              <w:rPr>
                <w:rFonts w:cstheme="minorHAnsi"/>
                <w:sz w:val="18"/>
                <w:szCs w:val="18"/>
              </w:rPr>
              <w:t>self</w:t>
            </w:r>
          </w:p>
        </w:tc>
        <w:tc>
          <w:tcPr>
            <w:tcW w:w="892" w:type="dxa"/>
            <w:shd w:val="clear" w:color="auto" w:fill="auto"/>
            <w:vAlign w:val="center"/>
          </w:tcPr>
          <w:p w14:paraId="5787A2D1" w14:textId="0F821095" w:rsidR="00B672BE" w:rsidRPr="005E7912" w:rsidRDefault="00B672BE" w:rsidP="004B205B">
            <w:pPr>
              <w:jc w:val="center"/>
              <w:rPr>
                <w:rFonts w:cstheme="minorHAnsi"/>
                <w:b/>
                <w:bCs/>
                <w:sz w:val="18"/>
                <w:szCs w:val="18"/>
              </w:rPr>
            </w:pPr>
            <w:r>
              <w:rPr>
                <w:rFonts w:cstheme="minorHAnsi"/>
                <w:b/>
                <w:bCs/>
                <w:sz w:val="18"/>
                <w:szCs w:val="18"/>
              </w:rPr>
              <w:t>.80</w:t>
            </w:r>
          </w:p>
        </w:tc>
        <w:tc>
          <w:tcPr>
            <w:tcW w:w="892" w:type="dxa"/>
            <w:shd w:val="clear" w:color="auto" w:fill="auto"/>
            <w:vAlign w:val="center"/>
          </w:tcPr>
          <w:p w14:paraId="097E21F1" w14:textId="2E30788F" w:rsidR="00B672BE" w:rsidRPr="005E7912" w:rsidRDefault="00B672BE" w:rsidP="004B205B">
            <w:pPr>
              <w:jc w:val="center"/>
              <w:rPr>
                <w:rFonts w:cstheme="minorHAnsi"/>
                <w:sz w:val="18"/>
                <w:szCs w:val="18"/>
              </w:rPr>
            </w:pPr>
            <w:r>
              <w:rPr>
                <w:rFonts w:cstheme="minorHAnsi"/>
                <w:sz w:val="18"/>
                <w:szCs w:val="18"/>
              </w:rPr>
              <w:t>.07</w:t>
            </w:r>
          </w:p>
        </w:tc>
        <w:tc>
          <w:tcPr>
            <w:tcW w:w="892" w:type="dxa"/>
            <w:shd w:val="clear" w:color="auto" w:fill="auto"/>
            <w:vAlign w:val="center"/>
          </w:tcPr>
          <w:p w14:paraId="6CB04EA7" w14:textId="0CCE52CA" w:rsidR="00B672BE" w:rsidRPr="005E7912" w:rsidRDefault="00B672BE" w:rsidP="004B205B">
            <w:pPr>
              <w:jc w:val="center"/>
              <w:rPr>
                <w:rFonts w:cstheme="minorHAnsi"/>
                <w:b/>
                <w:bCs/>
                <w:sz w:val="18"/>
                <w:szCs w:val="18"/>
              </w:rPr>
            </w:pPr>
            <w:r>
              <w:rPr>
                <w:rFonts w:cstheme="minorHAnsi"/>
                <w:b/>
                <w:bCs/>
                <w:sz w:val="18"/>
                <w:szCs w:val="18"/>
              </w:rPr>
              <w:t>.67</w:t>
            </w:r>
          </w:p>
        </w:tc>
        <w:tc>
          <w:tcPr>
            <w:tcW w:w="892" w:type="dxa"/>
            <w:shd w:val="clear" w:color="auto" w:fill="auto"/>
            <w:vAlign w:val="center"/>
          </w:tcPr>
          <w:p w14:paraId="42C644AB" w14:textId="4CE9B027" w:rsidR="00B672BE" w:rsidRPr="005E7912" w:rsidRDefault="00B672BE" w:rsidP="004B205B">
            <w:pPr>
              <w:jc w:val="center"/>
              <w:rPr>
                <w:rFonts w:cstheme="minorHAnsi"/>
                <w:sz w:val="18"/>
                <w:szCs w:val="18"/>
              </w:rPr>
            </w:pPr>
            <w:r>
              <w:rPr>
                <w:rFonts w:cstheme="minorHAnsi"/>
                <w:sz w:val="18"/>
                <w:szCs w:val="18"/>
              </w:rPr>
              <w:t>.17</w:t>
            </w:r>
          </w:p>
        </w:tc>
        <w:tc>
          <w:tcPr>
            <w:tcW w:w="892" w:type="dxa"/>
            <w:shd w:val="clear" w:color="auto" w:fill="auto"/>
            <w:vAlign w:val="center"/>
          </w:tcPr>
          <w:p w14:paraId="38AD8048" w14:textId="5F3159C4" w:rsidR="00B672BE" w:rsidRPr="005E7912" w:rsidRDefault="00B672BE" w:rsidP="004B205B">
            <w:pPr>
              <w:jc w:val="center"/>
              <w:rPr>
                <w:rFonts w:cstheme="minorHAnsi"/>
                <w:b/>
                <w:bCs/>
                <w:sz w:val="18"/>
                <w:szCs w:val="18"/>
              </w:rPr>
            </w:pPr>
            <w:r>
              <w:rPr>
                <w:rFonts w:cstheme="minorHAnsi"/>
                <w:b/>
                <w:bCs/>
                <w:sz w:val="18"/>
                <w:szCs w:val="18"/>
              </w:rPr>
              <w:t>.44</w:t>
            </w:r>
          </w:p>
        </w:tc>
        <w:tc>
          <w:tcPr>
            <w:tcW w:w="892" w:type="dxa"/>
            <w:shd w:val="clear" w:color="auto" w:fill="auto"/>
            <w:vAlign w:val="center"/>
          </w:tcPr>
          <w:p w14:paraId="731F1276" w14:textId="61FA297D" w:rsidR="00B672BE" w:rsidRPr="005E7912" w:rsidRDefault="00B672BE" w:rsidP="004B205B">
            <w:pPr>
              <w:jc w:val="center"/>
              <w:rPr>
                <w:rFonts w:cstheme="minorHAnsi"/>
                <w:sz w:val="18"/>
                <w:szCs w:val="18"/>
              </w:rPr>
            </w:pPr>
            <w:r>
              <w:rPr>
                <w:rFonts w:cstheme="minorHAnsi"/>
                <w:sz w:val="18"/>
                <w:szCs w:val="18"/>
              </w:rPr>
              <w:t>.27</w:t>
            </w:r>
          </w:p>
        </w:tc>
      </w:tr>
      <w:tr w:rsidR="00B672BE" w:rsidRPr="009B0895" w14:paraId="69F5D575" w14:textId="77777777" w:rsidTr="00822F23">
        <w:trPr>
          <w:cantSplit/>
        </w:trPr>
        <w:tc>
          <w:tcPr>
            <w:tcW w:w="2976" w:type="dxa"/>
            <w:shd w:val="clear" w:color="auto" w:fill="auto"/>
            <w:vAlign w:val="center"/>
          </w:tcPr>
          <w:p w14:paraId="0553D823" w14:textId="77777777" w:rsidR="00B672BE" w:rsidRPr="009B0895" w:rsidRDefault="00B672BE" w:rsidP="004B205B">
            <w:pPr>
              <w:rPr>
                <w:rFonts w:cstheme="minorHAnsi"/>
                <w:sz w:val="18"/>
                <w:szCs w:val="18"/>
              </w:rPr>
            </w:pPr>
            <w:r w:rsidRPr="009B0895">
              <w:rPr>
                <w:rFonts w:cstheme="minorHAnsi"/>
                <w:sz w:val="18"/>
                <w:szCs w:val="18"/>
              </w:rPr>
              <w:t>Feel that life is threatening</w:t>
            </w:r>
          </w:p>
        </w:tc>
        <w:tc>
          <w:tcPr>
            <w:tcW w:w="892" w:type="dxa"/>
            <w:shd w:val="clear" w:color="auto" w:fill="auto"/>
            <w:vAlign w:val="center"/>
          </w:tcPr>
          <w:p w14:paraId="7C976E88" w14:textId="5EB330D5" w:rsidR="00B672BE" w:rsidRPr="005E7912" w:rsidRDefault="00B672BE" w:rsidP="004B205B">
            <w:pPr>
              <w:jc w:val="center"/>
              <w:rPr>
                <w:rFonts w:cstheme="minorHAnsi"/>
                <w:b/>
                <w:bCs/>
                <w:sz w:val="18"/>
                <w:szCs w:val="18"/>
              </w:rPr>
            </w:pPr>
            <w:r>
              <w:rPr>
                <w:rFonts w:cstheme="minorHAnsi"/>
                <w:b/>
                <w:bCs/>
                <w:sz w:val="18"/>
                <w:szCs w:val="18"/>
              </w:rPr>
              <w:t>.88</w:t>
            </w:r>
          </w:p>
        </w:tc>
        <w:tc>
          <w:tcPr>
            <w:tcW w:w="892" w:type="dxa"/>
            <w:shd w:val="clear" w:color="auto" w:fill="auto"/>
            <w:vAlign w:val="center"/>
          </w:tcPr>
          <w:p w14:paraId="587863F8" w14:textId="2F1E1226" w:rsidR="00B672BE" w:rsidRPr="005E7912" w:rsidRDefault="00B672BE" w:rsidP="004B205B">
            <w:pPr>
              <w:jc w:val="center"/>
              <w:rPr>
                <w:rFonts w:cstheme="minorHAnsi"/>
                <w:sz w:val="18"/>
                <w:szCs w:val="18"/>
              </w:rPr>
            </w:pPr>
            <w:r>
              <w:rPr>
                <w:rFonts w:cstheme="minorHAnsi"/>
                <w:sz w:val="18"/>
                <w:szCs w:val="18"/>
              </w:rPr>
              <w:t>-.04</w:t>
            </w:r>
          </w:p>
        </w:tc>
        <w:tc>
          <w:tcPr>
            <w:tcW w:w="892" w:type="dxa"/>
            <w:shd w:val="clear" w:color="auto" w:fill="auto"/>
            <w:vAlign w:val="center"/>
          </w:tcPr>
          <w:p w14:paraId="21C5C252" w14:textId="42C2D868" w:rsidR="00B672BE" w:rsidRPr="005E7912" w:rsidRDefault="00B672BE" w:rsidP="004B205B">
            <w:pPr>
              <w:jc w:val="center"/>
              <w:rPr>
                <w:rFonts w:cstheme="minorHAnsi"/>
                <w:b/>
                <w:bCs/>
                <w:sz w:val="18"/>
                <w:szCs w:val="18"/>
              </w:rPr>
            </w:pPr>
            <w:r>
              <w:rPr>
                <w:rFonts w:cstheme="minorHAnsi"/>
                <w:b/>
                <w:bCs/>
                <w:sz w:val="18"/>
                <w:szCs w:val="18"/>
              </w:rPr>
              <w:t>.86</w:t>
            </w:r>
          </w:p>
        </w:tc>
        <w:tc>
          <w:tcPr>
            <w:tcW w:w="892" w:type="dxa"/>
            <w:shd w:val="clear" w:color="auto" w:fill="auto"/>
            <w:vAlign w:val="center"/>
          </w:tcPr>
          <w:p w14:paraId="3ABC831B" w14:textId="46E8D9DE" w:rsidR="00B672BE" w:rsidRPr="005E7912" w:rsidRDefault="00B672BE" w:rsidP="004B205B">
            <w:pPr>
              <w:jc w:val="center"/>
              <w:rPr>
                <w:rFonts w:cstheme="minorHAnsi"/>
                <w:sz w:val="18"/>
                <w:szCs w:val="18"/>
              </w:rPr>
            </w:pPr>
            <w:r>
              <w:rPr>
                <w:rFonts w:cstheme="minorHAnsi"/>
                <w:sz w:val="18"/>
                <w:szCs w:val="18"/>
              </w:rPr>
              <w:t>.04</w:t>
            </w:r>
          </w:p>
        </w:tc>
        <w:tc>
          <w:tcPr>
            <w:tcW w:w="892" w:type="dxa"/>
            <w:shd w:val="clear" w:color="auto" w:fill="auto"/>
            <w:vAlign w:val="center"/>
          </w:tcPr>
          <w:p w14:paraId="770CBFFC" w14:textId="54890E61" w:rsidR="00B672BE" w:rsidRPr="005E7912" w:rsidRDefault="00B672BE" w:rsidP="004B205B">
            <w:pPr>
              <w:jc w:val="center"/>
              <w:rPr>
                <w:rFonts w:cstheme="minorHAnsi"/>
                <w:b/>
                <w:bCs/>
                <w:sz w:val="18"/>
                <w:szCs w:val="18"/>
              </w:rPr>
            </w:pPr>
            <w:r>
              <w:rPr>
                <w:rFonts w:cstheme="minorHAnsi"/>
                <w:b/>
                <w:bCs/>
                <w:sz w:val="18"/>
                <w:szCs w:val="18"/>
              </w:rPr>
              <w:t>.91</w:t>
            </w:r>
          </w:p>
        </w:tc>
        <w:tc>
          <w:tcPr>
            <w:tcW w:w="892" w:type="dxa"/>
            <w:shd w:val="clear" w:color="auto" w:fill="auto"/>
            <w:vAlign w:val="center"/>
          </w:tcPr>
          <w:p w14:paraId="3F2E300A" w14:textId="76E7F2AC" w:rsidR="00B672BE" w:rsidRPr="005E7912" w:rsidRDefault="00B672BE" w:rsidP="004B205B">
            <w:pPr>
              <w:jc w:val="center"/>
              <w:rPr>
                <w:rFonts w:cstheme="minorHAnsi"/>
                <w:sz w:val="18"/>
                <w:szCs w:val="18"/>
              </w:rPr>
            </w:pPr>
            <w:r>
              <w:rPr>
                <w:rFonts w:cstheme="minorHAnsi"/>
                <w:sz w:val="18"/>
                <w:szCs w:val="18"/>
              </w:rPr>
              <w:t>-.13</w:t>
            </w:r>
          </w:p>
        </w:tc>
      </w:tr>
      <w:tr w:rsidR="00B672BE" w:rsidRPr="009B0895" w14:paraId="070D1F4F" w14:textId="77777777" w:rsidTr="00822F23">
        <w:trPr>
          <w:cantSplit/>
        </w:trPr>
        <w:tc>
          <w:tcPr>
            <w:tcW w:w="2976" w:type="dxa"/>
            <w:tcBorders>
              <w:bottom w:val="single" w:sz="4" w:space="0" w:color="auto"/>
            </w:tcBorders>
            <w:shd w:val="clear" w:color="auto" w:fill="auto"/>
            <w:vAlign w:val="center"/>
          </w:tcPr>
          <w:p w14:paraId="17D74063" w14:textId="77777777" w:rsidR="00B672BE" w:rsidRPr="009B0895" w:rsidRDefault="00B672BE" w:rsidP="004B205B">
            <w:pPr>
              <w:rPr>
                <w:rFonts w:cstheme="minorHAnsi"/>
                <w:sz w:val="18"/>
                <w:szCs w:val="18"/>
              </w:rPr>
            </w:pPr>
            <w:r w:rsidRPr="009B0895">
              <w:rPr>
                <w:rFonts w:cstheme="minorHAnsi"/>
                <w:sz w:val="18"/>
                <w:szCs w:val="18"/>
              </w:rPr>
              <w:t>Feel that I have lost control of life</w:t>
            </w:r>
          </w:p>
        </w:tc>
        <w:tc>
          <w:tcPr>
            <w:tcW w:w="892" w:type="dxa"/>
            <w:tcBorders>
              <w:bottom w:val="single" w:sz="4" w:space="0" w:color="auto"/>
            </w:tcBorders>
            <w:shd w:val="clear" w:color="auto" w:fill="auto"/>
            <w:vAlign w:val="center"/>
          </w:tcPr>
          <w:p w14:paraId="37CDD368" w14:textId="02B7BE21" w:rsidR="00B672BE" w:rsidRPr="005E7912" w:rsidRDefault="00B672BE" w:rsidP="004B205B">
            <w:pPr>
              <w:jc w:val="center"/>
              <w:rPr>
                <w:rFonts w:cstheme="minorHAnsi"/>
                <w:b/>
                <w:bCs/>
                <w:sz w:val="18"/>
                <w:szCs w:val="18"/>
              </w:rPr>
            </w:pPr>
            <w:r>
              <w:rPr>
                <w:rFonts w:cstheme="minorHAnsi"/>
                <w:b/>
                <w:bCs/>
                <w:sz w:val="18"/>
                <w:szCs w:val="18"/>
              </w:rPr>
              <w:t>.48</w:t>
            </w:r>
          </w:p>
        </w:tc>
        <w:tc>
          <w:tcPr>
            <w:tcW w:w="892" w:type="dxa"/>
            <w:tcBorders>
              <w:bottom w:val="single" w:sz="4" w:space="0" w:color="auto"/>
            </w:tcBorders>
            <w:shd w:val="clear" w:color="auto" w:fill="auto"/>
            <w:vAlign w:val="center"/>
          </w:tcPr>
          <w:p w14:paraId="6E341485" w14:textId="2C181308" w:rsidR="00B672BE" w:rsidRPr="005E7912" w:rsidRDefault="00B672BE" w:rsidP="004B205B">
            <w:pPr>
              <w:jc w:val="center"/>
              <w:rPr>
                <w:rFonts w:cstheme="minorHAnsi"/>
                <w:sz w:val="18"/>
                <w:szCs w:val="18"/>
              </w:rPr>
            </w:pPr>
            <w:r>
              <w:rPr>
                <w:rFonts w:cstheme="minorHAnsi"/>
                <w:sz w:val="18"/>
                <w:szCs w:val="18"/>
              </w:rPr>
              <w:t>-.03</w:t>
            </w:r>
          </w:p>
        </w:tc>
        <w:tc>
          <w:tcPr>
            <w:tcW w:w="892" w:type="dxa"/>
            <w:tcBorders>
              <w:bottom w:val="single" w:sz="4" w:space="0" w:color="auto"/>
            </w:tcBorders>
            <w:shd w:val="clear" w:color="auto" w:fill="auto"/>
            <w:vAlign w:val="center"/>
          </w:tcPr>
          <w:p w14:paraId="3D5B1DED" w14:textId="754B883D" w:rsidR="00B672BE" w:rsidRPr="005E7912" w:rsidRDefault="00B672BE" w:rsidP="004B205B">
            <w:pPr>
              <w:jc w:val="center"/>
              <w:rPr>
                <w:rFonts w:cstheme="minorHAnsi"/>
                <w:b/>
                <w:bCs/>
                <w:sz w:val="18"/>
                <w:szCs w:val="18"/>
              </w:rPr>
            </w:pPr>
            <w:r>
              <w:rPr>
                <w:rFonts w:cstheme="minorHAnsi"/>
                <w:b/>
                <w:bCs/>
                <w:sz w:val="18"/>
                <w:szCs w:val="18"/>
              </w:rPr>
              <w:t>.74</w:t>
            </w:r>
          </w:p>
        </w:tc>
        <w:tc>
          <w:tcPr>
            <w:tcW w:w="892" w:type="dxa"/>
            <w:tcBorders>
              <w:bottom w:val="single" w:sz="4" w:space="0" w:color="auto"/>
            </w:tcBorders>
            <w:shd w:val="clear" w:color="auto" w:fill="auto"/>
            <w:vAlign w:val="center"/>
          </w:tcPr>
          <w:p w14:paraId="6B97DEC4" w14:textId="37F5E2D8" w:rsidR="00B672BE" w:rsidRPr="005E7912" w:rsidRDefault="00B672BE" w:rsidP="004B205B">
            <w:pPr>
              <w:jc w:val="center"/>
              <w:rPr>
                <w:rFonts w:cstheme="minorHAnsi"/>
                <w:sz w:val="18"/>
                <w:szCs w:val="18"/>
              </w:rPr>
            </w:pPr>
            <w:r>
              <w:rPr>
                <w:rFonts w:cstheme="minorHAnsi"/>
                <w:sz w:val="18"/>
                <w:szCs w:val="18"/>
              </w:rPr>
              <w:t>-.13</w:t>
            </w:r>
          </w:p>
        </w:tc>
        <w:tc>
          <w:tcPr>
            <w:tcW w:w="892" w:type="dxa"/>
            <w:tcBorders>
              <w:bottom w:val="single" w:sz="4" w:space="0" w:color="auto"/>
            </w:tcBorders>
            <w:shd w:val="clear" w:color="auto" w:fill="auto"/>
            <w:vAlign w:val="center"/>
          </w:tcPr>
          <w:p w14:paraId="7EACF94D" w14:textId="1FD88A09" w:rsidR="00B672BE" w:rsidRPr="002F2C5F" w:rsidRDefault="00B672BE" w:rsidP="004B205B">
            <w:pPr>
              <w:jc w:val="center"/>
              <w:rPr>
                <w:rFonts w:cstheme="minorHAnsi"/>
                <w:b/>
                <w:bCs/>
                <w:sz w:val="18"/>
                <w:szCs w:val="18"/>
              </w:rPr>
            </w:pPr>
            <w:r w:rsidRPr="002F2C5F">
              <w:rPr>
                <w:rFonts w:cstheme="minorHAnsi"/>
                <w:b/>
                <w:bCs/>
                <w:sz w:val="18"/>
                <w:szCs w:val="18"/>
              </w:rPr>
              <w:t>.41</w:t>
            </w:r>
          </w:p>
        </w:tc>
        <w:tc>
          <w:tcPr>
            <w:tcW w:w="892" w:type="dxa"/>
            <w:tcBorders>
              <w:bottom w:val="single" w:sz="4" w:space="0" w:color="auto"/>
            </w:tcBorders>
            <w:shd w:val="clear" w:color="auto" w:fill="auto"/>
            <w:vAlign w:val="center"/>
          </w:tcPr>
          <w:p w14:paraId="4CE4F80E" w14:textId="5E7C9E4B" w:rsidR="00B672BE" w:rsidRPr="002F2C5F" w:rsidRDefault="00B672BE" w:rsidP="004B205B">
            <w:pPr>
              <w:jc w:val="center"/>
              <w:rPr>
                <w:rFonts w:cstheme="minorHAnsi"/>
                <w:sz w:val="18"/>
                <w:szCs w:val="18"/>
              </w:rPr>
            </w:pPr>
            <w:r w:rsidRPr="002F2C5F">
              <w:rPr>
                <w:rFonts w:cstheme="minorHAnsi"/>
                <w:sz w:val="18"/>
                <w:szCs w:val="18"/>
              </w:rPr>
              <w:t>.20</w:t>
            </w:r>
          </w:p>
        </w:tc>
      </w:tr>
    </w:tbl>
    <w:p w14:paraId="089DF73A" w14:textId="77777777" w:rsidR="004B205B" w:rsidRDefault="004B205B">
      <w:pPr>
        <w:spacing w:before="0" w:after="200" w:line="276" w:lineRule="auto"/>
        <w:rPr>
          <w:rFonts w:cstheme="minorHAnsi"/>
        </w:rPr>
      </w:pPr>
      <w:r>
        <w:rPr>
          <w:rFonts w:cstheme="minorHAnsi"/>
        </w:rPr>
        <w:br w:type="page"/>
      </w:r>
    </w:p>
    <w:p w14:paraId="26CEE191" w14:textId="65AF13F8" w:rsidR="00CC77F4" w:rsidRPr="00A04F36" w:rsidRDefault="00CC77F4" w:rsidP="00CC77F4">
      <w:pPr>
        <w:rPr>
          <w:rFonts w:cstheme="minorHAnsi"/>
          <w:b/>
          <w:bCs/>
        </w:rPr>
      </w:pPr>
      <w:r>
        <w:rPr>
          <w:rFonts w:cstheme="minorHAnsi"/>
        </w:rPr>
        <w:lastRenderedPageBreak/>
        <w:t xml:space="preserve">Table </w:t>
      </w:r>
      <w:r w:rsidR="00950F64">
        <w:rPr>
          <w:rFonts w:cstheme="minorHAnsi"/>
        </w:rPr>
        <w:t>2</w:t>
      </w:r>
      <w:r>
        <w:rPr>
          <w:rFonts w:cstheme="minorHAnsi"/>
        </w:rPr>
        <w:t xml:space="preserve">. Descriptive </w:t>
      </w:r>
      <w:r w:rsidR="005709C4">
        <w:rPr>
          <w:rFonts w:cstheme="minorHAnsi"/>
        </w:rPr>
        <w:t xml:space="preserve">statistics </w:t>
      </w:r>
      <w:r>
        <w:rPr>
          <w:rFonts w:cstheme="minorHAnsi"/>
        </w:rPr>
        <w:t xml:space="preserve">for </w:t>
      </w:r>
      <w:r w:rsidR="008600EB">
        <w:rPr>
          <w:rFonts w:cstheme="minorHAnsi"/>
        </w:rPr>
        <w:t xml:space="preserve">scores on </w:t>
      </w:r>
      <w:r>
        <w:rPr>
          <w:rFonts w:cstheme="minorHAnsi"/>
        </w:rPr>
        <w:t>CFTS total</w:t>
      </w:r>
      <w:r w:rsidR="005F0D2A">
        <w:rPr>
          <w:rFonts w:cstheme="minorHAnsi"/>
        </w:rPr>
        <w:t xml:space="preserve"> and subscale</w:t>
      </w:r>
      <w:r w:rsidR="008600EB">
        <w:rPr>
          <w:rFonts w:cstheme="minorHAnsi"/>
        </w:rPr>
        <w:t>s</w:t>
      </w:r>
      <w:r w:rsidR="005F0D2A">
        <w:rPr>
          <w:rFonts w:cstheme="minorHAnsi"/>
        </w:rPr>
        <w:t>, DASS-21 total and s</w:t>
      </w:r>
      <w:r w:rsidR="008600EB">
        <w:rPr>
          <w:rFonts w:cstheme="minorHAnsi"/>
        </w:rPr>
        <w:t>u</w:t>
      </w:r>
      <w:r w:rsidR="005F0D2A">
        <w:rPr>
          <w:rFonts w:cstheme="minorHAnsi"/>
        </w:rPr>
        <w:t>bscale</w:t>
      </w:r>
      <w:r w:rsidR="008600EB">
        <w:rPr>
          <w:rFonts w:cstheme="minorHAnsi"/>
        </w:rPr>
        <w:t>s, Subjective Wellbeing, and Intrinsic religiosity</w:t>
      </w:r>
      <w:r>
        <w:rPr>
          <w:rFonts w:cstheme="minorHAnsi"/>
        </w:rPr>
        <w:t xml:space="preserve"> in the Australian, Indian, and Nepali university student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63"/>
        <w:gridCol w:w="756"/>
        <w:gridCol w:w="820"/>
        <w:gridCol w:w="230"/>
        <w:gridCol w:w="895"/>
        <w:gridCol w:w="883"/>
        <w:gridCol w:w="843"/>
        <w:gridCol w:w="282"/>
        <w:gridCol w:w="850"/>
        <w:gridCol w:w="756"/>
        <w:gridCol w:w="850"/>
      </w:tblGrid>
      <w:tr w:rsidR="000C4473" w14:paraId="03C8EC95" w14:textId="77777777" w:rsidTr="00B808DC">
        <w:tc>
          <w:tcPr>
            <w:tcW w:w="843" w:type="dxa"/>
            <w:tcBorders>
              <w:top w:val="single" w:sz="4" w:space="0" w:color="auto"/>
            </w:tcBorders>
          </w:tcPr>
          <w:p w14:paraId="39950012" w14:textId="77777777" w:rsidR="000C4473" w:rsidRDefault="000C4473" w:rsidP="003624D6"/>
        </w:tc>
        <w:tc>
          <w:tcPr>
            <w:tcW w:w="2237" w:type="dxa"/>
            <w:gridSpan w:val="3"/>
            <w:tcBorders>
              <w:top w:val="single" w:sz="4" w:space="0" w:color="auto"/>
              <w:bottom w:val="single" w:sz="4" w:space="0" w:color="auto"/>
            </w:tcBorders>
            <w:vAlign w:val="center"/>
          </w:tcPr>
          <w:p w14:paraId="24307D2B" w14:textId="77777777" w:rsidR="000C4473" w:rsidRDefault="000C4473" w:rsidP="00B808DC">
            <w:pPr>
              <w:jc w:val="center"/>
            </w:pPr>
            <w:r>
              <w:t>Australian (</w:t>
            </w:r>
            <w:r w:rsidRPr="000750E6">
              <w:rPr>
                <w:i/>
                <w:iCs/>
              </w:rPr>
              <w:t>n</w:t>
            </w:r>
            <w:r>
              <w:rPr>
                <w:i/>
                <w:iCs/>
              </w:rPr>
              <w:t xml:space="preserve"> </w:t>
            </w:r>
            <w:r>
              <w:t>= 155)</w:t>
            </w:r>
          </w:p>
        </w:tc>
        <w:tc>
          <w:tcPr>
            <w:tcW w:w="230" w:type="dxa"/>
            <w:tcBorders>
              <w:top w:val="single" w:sz="4" w:space="0" w:color="auto"/>
              <w:bottom w:val="single" w:sz="4" w:space="0" w:color="auto"/>
            </w:tcBorders>
            <w:vAlign w:val="center"/>
          </w:tcPr>
          <w:p w14:paraId="733EB129" w14:textId="77777777" w:rsidR="000C4473" w:rsidRDefault="000C4473" w:rsidP="00B808DC">
            <w:pPr>
              <w:jc w:val="center"/>
            </w:pPr>
          </w:p>
        </w:tc>
        <w:tc>
          <w:tcPr>
            <w:tcW w:w="2621" w:type="dxa"/>
            <w:gridSpan w:val="3"/>
            <w:tcBorders>
              <w:top w:val="single" w:sz="4" w:space="0" w:color="auto"/>
              <w:bottom w:val="single" w:sz="4" w:space="0" w:color="auto"/>
            </w:tcBorders>
            <w:vAlign w:val="center"/>
          </w:tcPr>
          <w:p w14:paraId="471F6A3B" w14:textId="77777777" w:rsidR="000C4473" w:rsidRDefault="000C4473" w:rsidP="00B808DC">
            <w:pPr>
              <w:jc w:val="center"/>
            </w:pPr>
            <w:r>
              <w:t>Indian (</w:t>
            </w:r>
            <w:r w:rsidRPr="000750E6">
              <w:rPr>
                <w:i/>
                <w:iCs/>
              </w:rPr>
              <w:t>n</w:t>
            </w:r>
            <w:r>
              <w:rPr>
                <w:i/>
                <w:iCs/>
              </w:rPr>
              <w:t xml:space="preserve"> </w:t>
            </w:r>
            <w:r>
              <w:t>= 111)</w:t>
            </w:r>
          </w:p>
        </w:tc>
        <w:tc>
          <w:tcPr>
            <w:tcW w:w="282" w:type="dxa"/>
            <w:tcBorders>
              <w:top w:val="single" w:sz="4" w:space="0" w:color="auto"/>
              <w:bottom w:val="single" w:sz="4" w:space="0" w:color="auto"/>
            </w:tcBorders>
            <w:vAlign w:val="center"/>
          </w:tcPr>
          <w:p w14:paraId="1B3B287C" w14:textId="77777777" w:rsidR="000C4473" w:rsidRDefault="000C4473" w:rsidP="00B808DC">
            <w:pPr>
              <w:jc w:val="center"/>
            </w:pPr>
          </w:p>
        </w:tc>
        <w:tc>
          <w:tcPr>
            <w:tcW w:w="2409" w:type="dxa"/>
            <w:gridSpan w:val="3"/>
            <w:tcBorders>
              <w:top w:val="single" w:sz="4" w:space="0" w:color="auto"/>
              <w:bottom w:val="single" w:sz="4" w:space="0" w:color="auto"/>
            </w:tcBorders>
            <w:vAlign w:val="center"/>
          </w:tcPr>
          <w:p w14:paraId="478CE8B9" w14:textId="77777777" w:rsidR="000C4473" w:rsidRDefault="000C4473" w:rsidP="00B808DC">
            <w:pPr>
              <w:jc w:val="center"/>
            </w:pPr>
            <w:r>
              <w:t>Nepali (</w:t>
            </w:r>
            <w:r w:rsidRPr="000750E6">
              <w:rPr>
                <w:i/>
                <w:iCs/>
              </w:rPr>
              <w:t>n</w:t>
            </w:r>
            <w:r>
              <w:rPr>
                <w:i/>
                <w:iCs/>
              </w:rPr>
              <w:t xml:space="preserve"> </w:t>
            </w:r>
            <w:r>
              <w:t>= 148)</w:t>
            </w:r>
          </w:p>
        </w:tc>
      </w:tr>
      <w:tr w:rsidR="000C4473" w14:paraId="66FD8511" w14:textId="77777777" w:rsidTr="00B808DC">
        <w:tc>
          <w:tcPr>
            <w:tcW w:w="843" w:type="dxa"/>
            <w:tcBorders>
              <w:bottom w:val="single" w:sz="4" w:space="0" w:color="auto"/>
            </w:tcBorders>
          </w:tcPr>
          <w:p w14:paraId="4E28CEC5" w14:textId="77777777" w:rsidR="000C4473" w:rsidRDefault="000C4473" w:rsidP="000C4473"/>
        </w:tc>
        <w:tc>
          <w:tcPr>
            <w:tcW w:w="763" w:type="dxa"/>
            <w:tcBorders>
              <w:top w:val="single" w:sz="4" w:space="0" w:color="auto"/>
              <w:bottom w:val="single" w:sz="4" w:space="0" w:color="auto"/>
            </w:tcBorders>
            <w:vAlign w:val="center"/>
          </w:tcPr>
          <w:p w14:paraId="0E912FB7" w14:textId="0DDFC6DD" w:rsidR="000C4473" w:rsidRPr="000C4473" w:rsidRDefault="000C4473" w:rsidP="00B808DC">
            <w:pPr>
              <w:jc w:val="center"/>
              <w:rPr>
                <w:i/>
                <w:iCs/>
              </w:rPr>
            </w:pPr>
            <w:r w:rsidRPr="000C4473">
              <w:rPr>
                <w:i/>
                <w:iCs/>
              </w:rPr>
              <w:t>Mean</w:t>
            </w:r>
          </w:p>
        </w:tc>
        <w:tc>
          <w:tcPr>
            <w:tcW w:w="654" w:type="dxa"/>
            <w:tcBorders>
              <w:top w:val="single" w:sz="4" w:space="0" w:color="auto"/>
              <w:bottom w:val="single" w:sz="4" w:space="0" w:color="auto"/>
            </w:tcBorders>
            <w:vAlign w:val="center"/>
          </w:tcPr>
          <w:p w14:paraId="72E03247" w14:textId="08D88EB9" w:rsidR="000C4473" w:rsidRPr="000C4473" w:rsidRDefault="000C4473" w:rsidP="00B808DC">
            <w:pPr>
              <w:jc w:val="center"/>
              <w:rPr>
                <w:i/>
                <w:iCs/>
              </w:rPr>
            </w:pPr>
            <w:r w:rsidRPr="000C4473">
              <w:rPr>
                <w:i/>
                <w:iCs/>
              </w:rPr>
              <w:t>SD</w:t>
            </w:r>
          </w:p>
        </w:tc>
        <w:tc>
          <w:tcPr>
            <w:tcW w:w="820" w:type="dxa"/>
            <w:tcBorders>
              <w:top w:val="single" w:sz="4" w:space="0" w:color="auto"/>
              <w:bottom w:val="single" w:sz="4" w:space="0" w:color="auto"/>
            </w:tcBorders>
            <w:vAlign w:val="center"/>
          </w:tcPr>
          <w:p w14:paraId="1DF5D3D8" w14:textId="06B3CAF1" w:rsidR="000C4473" w:rsidRPr="000C4473" w:rsidRDefault="000C4473" w:rsidP="00B808DC">
            <w:pPr>
              <w:jc w:val="center"/>
              <w:rPr>
                <w:i/>
                <w:iCs/>
              </w:rPr>
            </w:pPr>
            <w:r w:rsidRPr="000C4473">
              <w:rPr>
                <w:rFonts w:cs="Times New Roman"/>
                <w:i/>
                <w:iCs/>
              </w:rPr>
              <w:t>α</w:t>
            </w:r>
          </w:p>
        </w:tc>
        <w:tc>
          <w:tcPr>
            <w:tcW w:w="230" w:type="dxa"/>
            <w:tcBorders>
              <w:top w:val="single" w:sz="4" w:space="0" w:color="auto"/>
              <w:bottom w:val="single" w:sz="4" w:space="0" w:color="auto"/>
            </w:tcBorders>
            <w:vAlign w:val="center"/>
          </w:tcPr>
          <w:p w14:paraId="7ACCB74B" w14:textId="77777777" w:rsidR="000C4473" w:rsidRPr="000C4473" w:rsidRDefault="000C4473" w:rsidP="00B808DC">
            <w:pPr>
              <w:jc w:val="center"/>
              <w:rPr>
                <w:i/>
                <w:iCs/>
              </w:rPr>
            </w:pPr>
          </w:p>
        </w:tc>
        <w:tc>
          <w:tcPr>
            <w:tcW w:w="895" w:type="dxa"/>
            <w:tcBorders>
              <w:top w:val="single" w:sz="4" w:space="0" w:color="auto"/>
              <w:bottom w:val="single" w:sz="4" w:space="0" w:color="auto"/>
            </w:tcBorders>
            <w:vAlign w:val="center"/>
          </w:tcPr>
          <w:p w14:paraId="1AA0B06F" w14:textId="3BE80892" w:rsidR="000C4473" w:rsidRPr="000C4473" w:rsidRDefault="000C4473" w:rsidP="00B808DC">
            <w:pPr>
              <w:jc w:val="center"/>
              <w:rPr>
                <w:i/>
                <w:iCs/>
              </w:rPr>
            </w:pPr>
            <w:r w:rsidRPr="000C4473">
              <w:rPr>
                <w:i/>
                <w:iCs/>
              </w:rPr>
              <w:t>Mean</w:t>
            </w:r>
          </w:p>
        </w:tc>
        <w:tc>
          <w:tcPr>
            <w:tcW w:w="883" w:type="dxa"/>
            <w:tcBorders>
              <w:top w:val="single" w:sz="4" w:space="0" w:color="auto"/>
              <w:bottom w:val="single" w:sz="4" w:space="0" w:color="auto"/>
            </w:tcBorders>
            <w:vAlign w:val="center"/>
          </w:tcPr>
          <w:p w14:paraId="219D534A" w14:textId="6E9536DD" w:rsidR="000C4473" w:rsidRPr="000C4473" w:rsidRDefault="000C4473" w:rsidP="00B808DC">
            <w:pPr>
              <w:jc w:val="center"/>
              <w:rPr>
                <w:i/>
                <w:iCs/>
              </w:rPr>
            </w:pPr>
            <w:r w:rsidRPr="000C4473">
              <w:rPr>
                <w:i/>
                <w:iCs/>
              </w:rPr>
              <w:t>SD</w:t>
            </w:r>
          </w:p>
        </w:tc>
        <w:tc>
          <w:tcPr>
            <w:tcW w:w="843" w:type="dxa"/>
            <w:tcBorders>
              <w:top w:val="single" w:sz="4" w:space="0" w:color="auto"/>
              <w:bottom w:val="single" w:sz="4" w:space="0" w:color="auto"/>
            </w:tcBorders>
            <w:vAlign w:val="center"/>
          </w:tcPr>
          <w:p w14:paraId="2B9103DE" w14:textId="16DE95D1" w:rsidR="000C4473" w:rsidRPr="000C4473" w:rsidRDefault="000C4473" w:rsidP="00B808DC">
            <w:pPr>
              <w:jc w:val="center"/>
              <w:rPr>
                <w:i/>
                <w:iCs/>
              </w:rPr>
            </w:pPr>
            <w:r w:rsidRPr="000C4473">
              <w:rPr>
                <w:rFonts w:cs="Times New Roman"/>
                <w:i/>
                <w:iCs/>
              </w:rPr>
              <w:t>α</w:t>
            </w:r>
          </w:p>
        </w:tc>
        <w:tc>
          <w:tcPr>
            <w:tcW w:w="282" w:type="dxa"/>
            <w:tcBorders>
              <w:top w:val="single" w:sz="4" w:space="0" w:color="auto"/>
              <w:bottom w:val="single" w:sz="4" w:space="0" w:color="auto"/>
            </w:tcBorders>
            <w:vAlign w:val="center"/>
          </w:tcPr>
          <w:p w14:paraId="754E2826" w14:textId="77777777" w:rsidR="000C4473" w:rsidRPr="000C4473" w:rsidRDefault="000C4473" w:rsidP="00B808DC">
            <w:pPr>
              <w:jc w:val="center"/>
              <w:rPr>
                <w:i/>
                <w:iCs/>
              </w:rPr>
            </w:pPr>
          </w:p>
        </w:tc>
        <w:tc>
          <w:tcPr>
            <w:tcW w:w="850" w:type="dxa"/>
            <w:tcBorders>
              <w:top w:val="single" w:sz="4" w:space="0" w:color="auto"/>
              <w:bottom w:val="single" w:sz="4" w:space="0" w:color="auto"/>
            </w:tcBorders>
            <w:vAlign w:val="center"/>
          </w:tcPr>
          <w:p w14:paraId="5267251A" w14:textId="5A2F7297" w:rsidR="000C4473" w:rsidRPr="000C4473" w:rsidRDefault="000C4473" w:rsidP="00B808DC">
            <w:pPr>
              <w:jc w:val="center"/>
              <w:rPr>
                <w:i/>
                <w:iCs/>
              </w:rPr>
            </w:pPr>
            <w:r w:rsidRPr="000C4473">
              <w:rPr>
                <w:i/>
                <w:iCs/>
              </w:rPr>
              <w:t>Mean</w:t>
            </w:r>
          </w:p>
        </w:tc>
        <w:tc>
          <w:tcPr>
            <w:tcW w:w="709" w:type="dxa"/>
            <w:tcBorders>
              <w:top w:val="single" w:sz="4" w:space="0" w:color="auto"/>
              <w:bottom w:val="single" w:sz="4" w:space="0" w:color="auto"/>
            </w:tcBorders>
            <w:vAlign w:val="center"/>
          </w:tcPr>
          <w:p w14:paraId="5A07347B" w14:textId="21E177B2" w:rsidR="000C4473" w:rsidRPr="000C4473" w:rsidRDefault="000C4473" w:rsidP="00B808DC">
            <w:pPr>
              <w:jc w:val="center"/>
              <w:rPr>
                <w:i/>
                <w:iCs/>
              </w:rPr>
            </w:pPr>
            <w:r w:rsidRPr="000C4473">
              <w:rPr>
                <w:i/>
                <w:iCs/>
              </w:rPr>
              <w:t>SD</w:t>
            </w:r>
          </w:p>
        </w:tc>
        <w:tc>
          <w:tcPr>
            <w:tcW w:w="850" w:type="dxa"/>
            <w:tcBorders>
              <w:top w:val="single" w:sz="4" w:space="0" w:color="auto"/>
              <w:bottom w:val="single" w:sz="4" w:space="0" w:color="auto"/>
            </w:tcBorders>
            <w:vAlign w:val="center"/>
          </w:tcPr>
          <w:p w14:paraId="61752AF3" w14:textId="2D724CD9" w:rsidR="000C4473" w:rsidRPr="000C4473" w:rsidRDefault="000C4473" w:rsidP="00B808DC">
            <w:pPr>
              <w:jc w:val="center"/>
              <w:rPr>
                <w:i/>
                <w:iCs/>
              </w:rPr>
            </w:pPr>
            <w:r w:rsidRPr="000C4473">
              <w:rPr>
                <w:rFonts w:cs="Times New Roman"/>
                <w:i/>
                <w:iCs/>
              </w:rPr>
              <w:t>α</w:t>
            </w:r>
          </w:p>
        </w:tc>
      </w:tr>
      <w:tr w:rsidR="00725844" w14:paraId="29334636" w14:textId="77777777" w:rsidTr="00BE2BD3">
        <w:tc>
          <w:tcPr>
            <w:tcW w:w="843" w:type="dxa"/>
            <w:tcBorders>
              <w:top w:val="single" w:sz="4" w:space="0" w:color="auto"/>
            </w:tcBorders>
          </w:tcPr>
          <w:p w14:paraId="26E6C062" w14:textId="56326036" w:rsidR="00725844" w:rsidRPr="000C4473" w:rsidRDefault="00725844" w:rsidP="00725844">
            <w:r w:rsidRPr="000C4473">
              <w:t>CFTS total</w:t>
            </w:r>
          </w:p>
        </w:tc>
        <w:tc>
          <w:tcPr>
            <w:tcW w:w="763" w:type="dxa"/>
            <w:tcBorders>
              <w:top w:val="single" w:sz="4" w:space="0" w:color="auto"/>
            </w:tcBorders>
            <w:vAlign w:val="center"/>
          </w:tcPr>
          <w:p w14:paraId="7D6F35F5" w14:textId="77777777" w:rsidR="00725844" w:rsidRDefault="00725844" w:rsidP="00BE2BD3">
            <w:pPr>
              <w:jc w:val="center"/>
            </w:pPr>
            <w:r>
              <w:t>8.14</w:t>
            </w:r>
          </w:p>
        </w:tc>
        <w:tc>
          <w:tcPr>
            <w:tcW w:w="654" w:type="dxa"/>
            <w:tcBorders>
              <w:top w:val="single" w:sz="4" w:space="0" w:color="auto"/>
            </w:tcBorders>
            <w:vAlign w:val="center"/>
          </w:tcPr>
          <w:p w14:paraId="2E75E759" w14:textId="62B2449C" w:rsidR="000F1B9B" w:rsidRDefault="00725844" w:rsidP="00BE2BD3">
            <w:pPr>
              <w:jc w:val="center"/>
            </w:pPr>
            <w:r>
              <w:t>3.79</w:t>
            </w:r>
          </w:p>
        </w:tc>
        <w:tc>
          <w:tcPr>
            <w:tcW w:w="820" w:type="dxa"/>
            <w:tcBorders>
              <w:top w:val="single" w:sz="4" w:space="0" w:color="auto"/>
            </w:tcBorders>
            <w:vAlign w:val="center"/>
          </w:tcPr>
          <w:p w14:paraId="7C39182C" w14:textId="77598B6D" w:rsidR="00725844" w:rsidRDefault="00725844" w:rsidP="00BE2BD3">
            <w:pPr>
              <w:jc w:val="center"/>
            </w:pPr>
            <w:r>
              <w:t>.76</w:t>
            </w:r>
          </w:p>
        </w:tc>
        <w:tc>
          <w:tcPr>
            <w:tcW w:w="230" w:type="dxa"/>
            <w:tcBorders>
              <w:top w:val="single" w:sz="4" w:space="0" w:color="auto"/>
            </w:tcBorders>
            <w:vAlign w:val="center"/>
          </w:tcPr>
          <w:p w14:paraId="35613DD5" w14:textId="77777777" w:rsidR="00725844" w:rsidRDefault="00725844" w:rsidP="00BE2BD3">
            <w:pPr>
              <w:jc w:val="center"/>
            </w:pPr>
          </w:p>
        </w:tc>
        <w:tc>
          <w:tcPr>
            <w:tcW w:w="895" w:type="dxa"/>
            <w:tcBorders>
              <w:top w:val="single" w:sz="4" w:space="0" w:color="auto"/>
            </w:tcBorders>
            <w:vAlign w:val="center"/>
          </w:tcPr>
          <w:p w14:paraId="6E8DD2F1" w14:textId="77777777" w:rsidR="00725844" w:rsidRDefault="00725844" w:rsidP="00BE2BD3">
            <w:pPr>
              <w:jc w:val="center"/>
            </w:pPr>
            <w:r>
              <w:t>7.59</w:t>
            </w:r>
          </w:p>
        </w:tc>
        <w:tc>
          <w:tcPr>
            <w:tcW w:w="883" w:type="dxa"/>
            <w:tcBorders>
              <w:top w:val="single" w:sz="4" w:space="0" w:color="auto"/>
            </w:tcBorders>
            <w:vAlign w:val="center"/>
          </w:tcPr>
          <w:p w14:paraId="51E25B17" w14:textId="0FAC7C9B" w:rsidR="00725844" w:rsidRDefault="00725844" w:rsidP="00BE2BD3">
            <w:pPr>
              <w:jc w:val="center"/>
            </w:pPr>
            <w:r>
              <w:t>4.22</w:t>
            </w:r>
          </w:p>
        </w:tc>
        <w:tc>
          <w:tcPr>
            <w:tcW w:w="843" w:type="dxa"/>
            <w:tcBorders>
              <w:top w:val="single" w:sz="4" w:space="0" w:color="auto"/>
            </w:tcBorders>
            <w:vAlign w:val="center"/>
          </w:tcPr>
          <w:p w14:paraId="73CD5ECA" w14:textId="3DA13AD4" w:rsidR="00725844" w:rsidRDefault="00725844" w:rsidP="00BE2BD3">
            <w:pPr>
              <w:jc w:val="center"/>
            </w:pPr>
            <w:r>
              <w:t>.80</w:t>
            </w:r>
          </w:p>
        </w:tc>
        <w:tc>
          <w:tcPr>
            <w:tcW w:w="282" w:type="dxa"/>
            <w:tcBorders>
              <w:top w:val="single" w:sz="4" w:space="0" w:color="auto"/>
            </w:tcBorders>
            <w:vAlign w:val="center"/>
          </w:tcPr>
          <w:p w14:paraId="28BA58A1" w14:textId="77777777" w:rsidR="00725844" w:rsidRDefault="00725844" w:rsidP="00BE2BD3">
            <w:pPr>
              <w:jc w:val="center"/>
            </w:pPr>
          </w:p>
        </w:tc>
        <w:tc>
          <w:tcPr>
            <w:tcW w:w="850" w:type="dxa"/>
            <w:tcBorders>
              <w:top w:val="single" w:sz="4" w:space="0" w:color="auto"/>
            </w:tcBorders>
            <w:vAlign w:val="center"/>
          </w:tcPr>
          <w:p w14:paraId="0FE6EC09" w14:textId="77777777" w:rsidR="00725844" w:rsidRDefault="00725844" w:rsidP="00BE2BD3">
            <w:pPr>
              <w:jc w:val="center"/>
            </w:pPr>
            <w:r>
              <w:t>9.22</w:t>
            </w:r>
          </w:p>
        </w:tc>
        <w:tc>
          <w:tcPr>
            <w:tcW w:w="709" w:type="dxa"/>
            <w:tcBorders>
              <w:top w:val="single" w:sz="4" w:space="0" w:color="auto"/>
            </w:tcBorders>
            <w:vAlign w:val="center"/>
          </w:tcPr>
          <w:p w14:paraId="28F9DD0D" w14:textId="7F1EEACB" w:rsidR="00725844" w:rsidRDefault="00725844" w:rsidP="00BE2BD3">
            <w:pPr>
              <w:jc w:val="center"/>
            </w:pPr>
            <w:r>
              <w:t>3.76</w:t>
            </w:r>
          </w:p>
        </w:tc>
        <w:tc>
          <w:tcPr>
            <w:tcW w:w="850" w:type="dxa"/>
            <w:tcBorders>
              <w:top w:val="single" w:sz="4" w:space="0" w:color="auto"/>
            </w:tcBorders>
            <w:vAlign w:val="center"/>
          </w:tcPr>
          <w:p w14:paraId="14A21604" w14:textId="7FB60916" w:rsidR="00725844" w:rsidRDefault="00725844" w:rsidP="00BE2BD3">
            <w:pPr>
              <w:jc w:val="center"/>
            </w:pPr>
            <w:r>
              <w:t>.73</w:t>
            </w:r>
          </w:p>
        </w:tc>
      </w:tr>
      <w:tr w:rsidR="00725844" w14:paraId="323F4219" w14:textId="77777777" w:rsidTr="00BE2BD3">
        <w:tc>
          <w:tcPr>
            <w:tcW w:w="843" w:type="dxa"/>
          </w:tcPr>
          <w:p w14:paraId="2F194648" w14:textId="6DC47F9E" w:rsidR="00725844" w:rsidRPr="000C4473" w:rsidRDefault="00725844" w:rsidP="00725844">
            <w:r w:rsidRPr="000C4473">
              <w:t>Fear</w:t>
            </w:r>
          </w:p>
        </w:tc>
        <w:tc>
          <w:tcPr>
            <w:tcW w:w="763" w:type="dxa"/>
            <w:vAlign w:val="center"/>
          </w:tcPr>
          <w:p w14:paraId="77AA08A0" w14:textId="5C1F14B5" w:rsidR="00725844" w:rsidRDefault="00725844" w:rsidP="00BE2BD3">
            <w:pPr>
              <w:jc w:val="center"/>
            </w:pPr>
            <w:r>
              <w:t>5.65</w:t>
            </w:r>
          </w:p>
        </w:tc>
        <w:tc>
          <w:tcPr>
            <w:tcW w:w="654" w:type="dxa"/>
            <w:vAlign w:val="center"/>
          </w:tcPr>
          <w:p w14:paraId="5119E579" w14:textId="1B5A35A0" w:rsidR="00725844" w:rsidRDefault="00725844" w:rsidP="00BE2BD3">
            <w:pPr>
              <w:jc w:val="center"/>
            </w:pPr>
            <w:r>
              <w:t>2.33</w:t>
            </w:r>
          </w:p>
        </w:tc>
        <w:tc>
          <w:tcPr>
            <w:tcW w:w="820" w:type="dxa"/>
            <w:vAlign w:val="center"/>
          </w:tcPr>
          <w:p w14:paraId="69853CD4" w14:textId="7961FB08" w:rsidR="00725844" w:rsidRDefault="00725844" w:rsidP="00BE2BD3">
            <w:pPr>
              <w:jc w:val="center"/>
            </w:pPr>
            <w:r>
              <w:t>.73</w:t>
            </w:r>
          </w:p>
        </w:tc>
        <w:tc>
          <w:tcPr>
            <w:tcW w:w="230" w:type="dxa"/>
            <w:vAlign w:val="center"/>
          </w:tcPr>
          <w:p w14:paraId="377B841B" w14:textId="77777777" w:rsidR="00725844" w:rsidRDefault="00725844" w:rsidP="00BE2BD3">
            <w:pPr>
              <w:jc w:val="center"/>
            </w:pPr>
          </w:p>
        </w:tc>
        <w:tc>
          <w:tcPr>
            <w:tcW w:w="895" w:type="dxa"/>
            <w:vAlign w:val="center"/>
          </w:tcPr>
          <w:p w14:paraId="1887D9A6" w14:textId="5645847E" w:rsidR="00725844" w:rsidRDefault="00725844" w:rsidP="00BE2BD3">
            <w:pPr>
              <w:jc w:val="center"/>
            </w:pPr>
            <w:r>
              <w:t>4.52</w:t>
            </w:r>
          </w:p>
        </w:tc>
        <w:tc>
          <w:tcPr>
            <w:tcW w:w="883" w:type="dxa"/>
            <w:vAlign w:val="center"/>
          </w:tcPr>
          <w:p w14:paraId="2EB586FA" w14:textId="5B56D366" w:rsidR="00725844" w:rsidRDefault="00725844" w:rsidP="00BE2BD3">
            <w:pPr>
              <w:jc w:val="center"/>
            </w:pPr>
            <w:r>
              <w:t>2.34</w:t>
            </w:r>
          </w:p>
        </w:tc>
        <w:tc>
          <w:tcPr>
            <w:tcW w:w="843" w:type="dxa"/>
            <w:vAlign w:val="center"/>
          </w:tcPr>
          <w:p w14:paraId="0507FE37" w14:textId="702415A7" w:rsidR="00725844" w:rsidRDefault="00725844" w:rsidP="00BE2BD3">
            <w:pPr>
              <w:jc w:val="center"/>
            </w:pPr>
            <w:r>
              <w:t>.73</w:t>
            </w:r>
          </w:p>
        </w:tc>
        <w:tc>
          <w:tcPr>
            <w:tcW w:w="282" w:type="dxa"/>
            <w:vAlign w:val="center"/>
          </w:tcPr>
          <w:p w14:paraId="1EB02BD8" w14:textId="77777777" w:rsidR="00725844" w:rsidRDefault="00725844" w:rsidP="00BE2BD3">
            <w:pPr>
              <w:jc w:val="center"/>
            </w:pPr>
          </w:p>
        </w:tc>
        <w:tc>
          <w:tcPr>
            <w:tcW w:w="850" w:type="dxa"/>
            <w:vAlign w:val="center"/>
          </w:tcPr>
          <w:p w14:paraId="678EC938" w14:textId="4FFA1F38" w:rsidR="00725844" w:rsidRDefault="00725844" w:rsidP="00BE2BD3">
            <w:pPr>
              <w:jc w:val="center"/>
            </w:pPr>
            <w:r>
              <w:t>5.20</w:t>
            </w:r>
          </w:p>
        </w:tc>
        <w:tc>
          <w:tcPr>
            <w:tcW w:w="709" w:type="dxa"/>
            <w:vAlign w:val="center"/>
          </w:tcPr>
          <w:p w14:paraId="6BCA5BAF" w14:textId="71DF8FAF" w:rsidR="00725844" w:rsidRDefault="00725844" w:rsidP="00BE2BD3">
            <w:pPr>
              <w:jc w:val="center"/>
            </w:pPr>
            <w:r>
              <w:t>2.04</w:t>
            </w:r>
          </w:p>
        </w:tc>
        <w:tc>
          <w:tcPr>
            <w:tcW w:w="850" w:type="dxa"/>
            <w:vAlign w:val="center"/>
          </w:tcPr>
          <w:p w14:paraId="4D2C2975" w14:textId="1AE39245" w:rsidR="00725844" w:rsidRDefault="00725844" w:rsidP="00BE2BD3">
            <w:pPr>
              <w:jc w:val="center"/>
            </w:pPr>
            <w:r>
              <w:t>.62</w:t>
            </w:r>
          </w:p>
        </w:tc>
      </w:tr>
      <w:tr w:rsidR="00BE2BD3" w14:paraId="48CE800B" w14:textId="77777777" w:rsidTr="00BE2BD3">
        <w:tc>
          <w:tcPr>
            <w:tcW w:w="843" w:type="dxa"/>
          </w:tcPr>
          <w:p w14:paraId="3FD795B2" w14:textId="7C59A99F" w:rsidR="00725844" w:rsidRPr="000C4473" w:rsidRDefault="00725844" w:rsidP="00725844">
            <w:r w:rsidRPr="000C4473">
              <w:rPr>
                <w:rFonts w:cs="Times New Roman"/>
              </w:rPr>
              <w:t>Threat</w:t>
            </w:r>
          </w:p>
        </w:tc>
        <w:tc>
          <w:tcPr>
            <w:tcW w:w="763" w:type="dxa"/>
            <w:vAlign w:val="center"/>
          </w:tcPr>
          <w:p w14:paraId="4C96949F" w14:textId="4716D750" w:rsidR="00725844" w:rsidRDefault="00725844" w:rsidP="00BE2BD3">
            <w:pPr>
              <w:jc w:val="center"/>
            </w:pPr>
            <w:r>
              <w:t>2.48</w:t>
            </w:r>
          </w:p>
        </w:tc>
        <w:tc>
          <w:tcPr>
            <w:tcW w:w="654" w:type="dxa"/>
            <w:vAlign w:val="center"/>
          </w:tcPr>
          <w:p w14:paraId="47D07220" w14:textId="536DD93C" w:rsidR="00725844" w:rsidRDefault="00725844" w:rsidP="00BE2BD3">
            <w:pPr>
              <w:jc w:val="center"/>
            </w:pPr>
            <w:r>
              <w:t>2.22</w:t>
            </w:r>
          </w:p>
        </w:tc>
        <w:tc>
          <w:tcPr>
            <w:tcW w:w="820" w:type="dxa"/>
            <w:vAlign w:val="center"/>
          </w:tcPr>
          <w:p w14:paraId="22B711B7" w14:textId="6E823368" w:rsidR="00725844" w:rsidRDefault="00725844" w:rsidP="00BE2BD3">
            <w:pPr>
              <w:jc w:val="center"/>
            </w:pPr>
            <w:r>
              <w:t>.74</w:t>
            </w:r>
          </w:p>
        </w:tc>
        <w:tc>
          <w:tcPr>
            <w:tcW w:w="230" w:type="dxa"/>
            <w:vAlign w:val="center"/>
          </w:tcPr>
          <w:p w14:paraId="642F5605" w14:textId="77777777" w:rsidR="00725844" w:rsidRDefault="00725844" w:rsidP="00BE2BD3">
            <w:pPr>
              <w:jc w:val="center"/>
            </w:pPr>
          </w:p>
        </w:tc>
        <w:tc>
          <w:tcPr>
            <w:tcW w:w="895" w:type="dxa"/>
            <w:vAlign w:val="center"/>
          </w:tcPr>
          <w:p w14:paraId="0703F508" w14:textId="6AAF541A" w:rsidR="00725844" w:rsidRDefault="00725844" w:rsidP="00BE2BD3">
            <w:pPr>
              <w:jc w:val="center"/>
            </w:pPr>
            <w:r>
              <w:t>3.07</w:t>
            </w:r>
          </w:p>
        </w:tc>
        <w:tc>
          <w:tcPr>
            <w:tcW w:w="883" w:type="dxa"/>
            <w:vAlign w:val="center"/>
          </w:tcPr>
          <w:p w14:paraId="3DDBE702" w14:textId="4C666EDC" w:rsidR="00725844" w:rsidRDefault="00725844" w:rsidP="00BE2BD3">
            <w:pPr>
              <w:jc w:val="center"/>
            </w:pPr>
            <w:r>
              <w:t>2.61</w:t>
            </w:r>
          </w:p>
        </w:tc>
        <w:tc>
          <w:tcPr>
            <w:tcW w:w="843" w:type="dxa"/>
            <w:vAlign w:val="center"/>
          </w:tcPr>
          <w:p w14:paraId="383A0CEC" w14:textId="77777777" w:rsidR="00725844" w:rsidRDefault="00725844" w:rsidP="00BE2BD3">
            <w:pPr>
              <w:jc w:val="center"/>
            </w:pPr>
            <w:r>
              <w:t>.80</w:t>
            </w:r>
          </w:p>
        </w:tc>
        <w:tc>
          <w:tcPr>
            <w:tcW w:w="282" w:type="dxa"/>
            <w:vAlign w:val="center"/>
          </w:tcPr>
          <w:p w14:paraId="260E815E" w14:textId="77777777" w:rsidR="00725844" w:rsidRDefault="00725844" w:rsidP="00BE2BD3">
            <w:pPr>
              <w:jc w:val="center"/>
            </w:pPr>
          </w:p>
        </w:tc>
        <w:tc>
          <w:tcPr>
            <w:tcW w:w="850" w:type="dxa"/>
            <w:vAlign w:val="center"/>
          </w:tcPr>
          <w:p w14:paraId="1585BF81" w14:textId="3255A918" w:rsidR="00725844" w:rsidRDefault="00725844" w:rsidP="00BE2BD3">
            <w:pPr>
              <w:jc w:val="center"/>
            </w:pPr>
            <w:r>
              <w:t>4.01</w:t>
            </w:r>
          </w:p>
        </w:tc>
        <w:tc>
          <w:tcPr>
            <w:tcW w:w="709" w:type="dxa"/>
            <w:vAlign w:val="center"/>
          </w:tcPr>
          <w:p w14:paraId="47106EDC" w14:textId="2683C7BC" w:rsidR="00725844" w:rsidRDefault="00725844" w:rsidP="00BE2BD3">
            <w:pPr>
              <w:jc w:val="center"/>
            </w:pPr>
            <w:r>
              <w:t>2.36</w:t>
            </w:r>
          </w:p>
        </w:tc>
        <w:tc>
          <w:tcPr>
            <w:tcW w:w="850" w:type="dxa"/>
            <w:vAlign w:val="center"/>
          </w:tcPr>
          <w:p w14:paraId="5C79D433" w14:textId="77777777" w:rsidR="00725844" w:rsidRDefault="00725844" w:rsidP="00BE2BD3">
            <w:pPr>
              <w:jc w:val="center"/>
            </w:pPr>
            <w:r>
              <w:t>.68</w:t>
            </w:r>
          </w:p>
        </w:tc>
      </w:tr>
      <w:tr w:rsidR="00023D14" w14:paraId="3F73595D" w14:textId="77777777" w:rsidTr="00BE2BD3">
        <w:tc>
          <w:tcPr>
            <w:tcW w:w="843" w:type="dxa"/>
          </w:tcPr>
          <w:p w14:paraId="092063FB" w14:textId="60CFEE03" w:rsidR="00023D14" w:rsidRPr="000C4473" w:rsidRDefault="00023D14" w:rsidP="00725844">
            <w:pPr>
              <w:rPr>
                <w:rFonts w:cs="Times New Roman"/>
              </w:rPr>
            </w:pPr>
            <w:r>
              <w:rPr>
                <w:rFonts w:cs="Times New Roman"/>
              </w:rPr>
              <w:t>DASS-21 total</w:t>
            </w:r>
          </w:p>
        </w:tc>
        <w:tc>
          <w:tcPr>
            <w:tcW w:w="763" w:type="dxa"/>
            <w:vAlign w:val="center"/>
          </w:tcPr>
          <w:p w14:paraId="3AA856B8" w14:textId="27AF9C3E" w:rsidR="00023D14" w:rsidRDefault="009D4E9A" w:rsidP="00BE2BD3">
            <w:pPr>
              <w:jc w:val="center"/>
            </w:pPr>
            <w:r>
              <w:t>20.20</w:t>
            </w:r>
          </w:p>
        </w:tc>
        <w:tc>
          <w:tcPr>
            <w:tcW w:w="654" w:type="dxa"/>
            <w:vAlign w:val="center"/>
          </w:tcPr>
          <w:p w14:paraId="6713B612" w14:textId="4501C204" w:rsidR="00023D14" w:rsidRDefault="003A0442" w:rsidP="00BE2BD3">
            <w:pPr>
              <w:jc w:val="center"/>
            </w:pPr>
            <w:r>
              <w:t>13.15</w:t>
            </w:r>
          </w:p>
        </w:tc>
        <w:tc>
          <w:tcPr>
            <w:tcW w:w="820" w:type="dxa"/>
            <w:vAlign w:val="center"/>
          </w:tcPr>
          <w:p w14:paraId="7A3CB996" w14:textId="0F429678" w:rsidR="00023D14" w:rsidRDefault="00E455FE" w:rsidP="00BE2BD3">
            <w:pPr>
              <w:jc w:val="center"/>
            </w:pPr>
            <w:r>
              <w:t>.94</w:t>
            </w:r>
          </w:p>
        </w:tc>
        <w:tc>
          <w:tcPr>
            <w:tcW w:w="230" w:type="dxa"/>
            <w:vAlign w:val="center"/>
          </w:tcPr>
          <w:p w14:paraId="06A8A2A9" w14:textId="77777777" w:rsidR="00023D14" w:rsidRDefault="00023D14" w:rsidP="00BE2BD3">
            <w:pPr>
              <w:jc w:val="center"/>
            </w:pPr>
          </w:p>
        </w:tc>
        <w:tc>
          <w:tcPr>
            <w:tcW w:w="895" w:type="dxa"/>
            <w:vAlign w:val="center"/>
          </w:tcPr>
          <w:p w14:paraId="0E74E7EB" w14:textId="37D7807F" w:rsidR="00023D14" w:rsidRDefault="00EA27E3" w:rsidP="00BE2BD3">
            <w:pPr>
              <w:jc w:val="center"/>
            </w:pPr>
            <w:r>
              <w:t>18.97</w:t>
            </w:r>
          </w:p>
        </w:tc>
        <w:tc>
          <w:tcPr>
            <w:tcW w:w="883" w:type="dxa"/>
            <w:vAlign w:val="center"/>
          </w:tcPr>
          <w:p w14:paraId="35F1D087" w14:textId="618755F0" w:rsidR="00023D14" w:rsidRDefault="00B02052" w:rsidP="00BE2BD3">
            <w:pPr>
              <w:jc w:val="center"/>
            </w:pPr>
            <w:r>
              <w:t>13.06</w:t>
            </w:r>
          </w:p>
        </w:tc>
        <w:tc>
          <w:tcPr>
            <w:tcW w:w="843" w:type="dxa"/>
            <w:vAlign w:val="center"/>
          </w:tcPr>
          <w:p w14:paraId="18D9A0B0" w14:textId="7F50DBDC" w:rsidR="00023D14" w:rsidRDefault="00C67C7B" w:rsidP="00BE2BD3">
            <w:pPr>
              <w:jc w:val="center"/>
            </w:pPr>
            <w:r>
              <w:t>.94</w:t>
            </w:r>
          </w:p>
        </w:tc>
        <w:tc>
          <w:tcPr>
            <w:tcW w:w="282" w:type="dxa"/>
            <w:vAlign w:val="center"/>
          </w:tcPr>
          <w:p w14:paraId="6FF64B03" w14:textId="77777777" w:rsidR="00023D14" w:rsidRDefault="00023D14" w:rsidP="00BE2BD3">
            <w:pPr>
              <w:jc w:val="center"/>
            </w:pPr>
          </w:p>
        </w:tc>
        <w:tc>
          <w:tcPr>
            <w:tcW w:w="850" w:type="dxa"/>
            <w:vAlign w:val="center"/>
          </w:tcPr>
          <w:p w14:paraId="56A8B271" w14:textId="76CEB8F9" w:rsidR="00023D14" w:rsidRDefault="00976B49" w:rsidP="00BE2BD3">
            <w:pPr>
              <w:jc w:val="center"/>
            </w:pPr>
            <w:r>
              <w:t>15.25</w:t>
            </w:r>
          </w:p>
        </w:tc>
        <w:tc>
          <w:tcPr>
            <w:tcW w:w="709" w:type="dxa"/>
            <w:vAlign w:val="center"/>
          </w:tcPr>
          <w:p w14:paraId="20D278BD" w14:textId="2F4496E7" w:rsidR="00023D14" w:rsidRDefault="005D6C61" w:rsidP="00BE2BD3">
            <w:pPr>
              <w:jc w:val="center"/>
            </w:pPr>
            <w:r>
              <w:t>13.18</w:t>
            </w:r>
          </w:p>
        </w:tc>
        <w:tc>
          <w:tcPr>
            <w:tcW w:w="850" w:type="dxa"/>
            <w:vAlign w:val="center"/>
          </w:tcPr>
          <w:p w14:paraId="456E9C6A" w14:textId="454D80B6" w:rsidR="00023D14" w:rsidRDefault="008F37D9" w:rsidP="00BE2BD3">
            <w:pPr>
              <w:jc w:val="center"/>
            </w:pPr>
            <w:r>
              <w:t>.95</w:t>
            </w:r>
          </w:p>
        </w:tc>
      </w:tr>
      <w:tr w:rsidR="00023D14" w14:paraId="12CD4E7C" w14:textId="77777777" w:rsidTr="00BE2BD3">
        <w:tc>
          <w:tcPr>
            <w:tcW w:w="843" w:type="dxa"/>
          </w:tcPr>
          <w:p w14:paraId="05715843" w14:textId="392F0375" w:rsidR="00023D14" w:rsidRPr="000C4473" w:rsidRDefault="00185F2E" w:rsidP="00725844">
            <w:pPr>
              <w:rPr>
                <w:rFonts w:cs="Times New Roman"/>
              </w:rPr>
            </w:pPr>
            <w:r>
              <w:rPr>
                <w:rFonts w:cs="Times New Roman"/>
              </w:rPr>
              <w:t>Depression</w:t>
            </w:r>
          </w:p>
        </w:tc>
        <w:tc>
          <w:tcPr>
            <w:tcW w:w="763" w:type="dxa"/>
            <w:vAlign w:val="center"/>
          </w:tcPr>
          <w:p w14:paraId="6853BCEE" w14:textId="51D7C3D5" w:rsidR="00023D14" w:rsidRDefault="003A0442" w:rsidP="00BE2BD3">
            <w:pPr>
              <w:jc w:val="center"/>
            </w:pPr>
            <w:r>
              <w:t>7.73</w:t>
            </w:r>
          </w:p>
        </w:tc>
        <w:tc>
          <w:tcPr>
            <w:tcW w:w="654" w:type="dxa"/>
            <w:vAlign w:val="center"/>
          </w:tcPr>
          <w:p w14:paraId="6F83F84F" w14:textId="4CDC0C03" w:rsidR="00023D14" w:rsidRDefault="003A0442" w:rsidP="00BE2BD3">
            <w:pPr>
              <w:jc w:val="center"/>
            </w:pPr>
            <w:r>
              <w:t>5.92</w:t>
            </w:r>
          </w:p>
        </w:tc>
        <w:tc>
          <w:tcPr>
            <w:tcW w:w="820" w:type="dxa"/>
            <w:vAlign w:val="center"/>
          </w:tcPr>
          <w:p w14:paraId="34D9E696" w14:textId="10099189" w:rsidR="00023D14" w:rsidRDefault="00E909BA" w:rsidP="00BE2BD3">
            <w:pPr>
              <w:jc w:val="center"/>
            </w:pPr>
            <w:r>
              <w:t>.92</w:t>
            </w:r>
          </w:p>
        </w:tc>
        <w:tc>
          <w:tcPr>
            <w:tcW w:w="230" w:type="dxa"/>
            <w:vAlign w:val="center"/>
          </w:tcPr>
          <w:p w14:paraId="266FD3F2" w14:textId="77777777" w:rsidR="00023D14" w:rsidRDefault="00023D14" w:rsidP="00BE2BD3">
            <w:pPr>
              <w:jc w:val="center"/>
            </w:pPr>
          </w:p>
        </w:tc>
        <w:tc>
          <w:tcPr>
            <w:tcW w:w="895" w:type="dxa"/>
            <w:vAlign w:val="center"/>
          </w:tcPr>
          <w:p w14:paraId="2B22C162" w14:textId="5338D4B4" w:rsidR="00023D14" w:rsidRDefault="00B02052" w:rsidP="00BE2BD3">
            <w:pPr>
              <w:jc w:val="center"/>
            </w:pPr>
            <w:r>
              <w:t>6.87</w:t>
            </w:r>
          </w:p>
        </w:tc>
        <w:tc>
          <w:tcPr>
            <w:tcW w:w="883" w:type="dxa"/>
            <w:vAlign w:val="center"/>
          </w:tcPr>
          <w:p w14:paraId="6F61979A" w14:textId="7A355C10" w:rsidR="00023D14" w:rsidRDefault="00B02052" w:rsidP="00BE2BD3">
            <w:pPr>
              <w:jc w:val="center"/>
            </w:pPr>
            <w:r>
              <w:t>5.10</w:t>
            </w:r>
          </w:p>
        </w:tc>
        <w:tc>
          <w:tcPr>
            <w:tcW w:w="843" w:type="dxa"/>
            <w:vAlign w:val="center"/>
          </w:tcPr>
          <w:p w14:paraId="0E01E855" w14:textId="6D799F85" w:rsidR="00023D14" w:rsidRDefault="00866960" w:rsidP="00BE2BD3">
            <w:pPr>
              <w:jc w:val="center"/>
            </w:pPr>
            <w:r>
              <w:t>.88</w:t>
            </w:r>
          </w:p>
        </w:tc>
        <w:tc>
          <w:tcPr>
            <w:tcW w:w="282" w:type="dxa"/>
            <w:vAlign w:val="center"/>
          </w:tcPr>
          <w:p w14:paraId="7A3AC23E" w14:textId="77777777" w:rsidR="00023D14" w:rsidRDefault="00023D14" w:rsidP="00BE2BD3">
            <w:pPr>
              <w:jc w:val="center"/>
            </w:pPr>
          </w:p>
        </w:tc>
        <w:tc>
          <w:tcPr>
            <w:tcW w:w="850" w:type="dxa"/>
            <w:vAlign w:val="center"/>
          </w:tcPr>
          <w:p w14:paraId="3B3ABBA9" w14:textId="63428307" w:rsidR="00023D14" w:rsidRDefault="001173E0" w:rsidP="00BE2BD3">
            <w:pPr>
              <w:jc w:val="center"/>
            </w:pPr>
            <w:r>
              <w:t>5.36</w:t>
            </w:r>
          </w:p>
        </w:tc>
        <w:tc>
          <w:tcPr>
            <w:tcW w:w="709" w:type="dxa"/>
            <w:vAlign w:val="center"/>
          </w:tcPr>
          <w:p w14:paraId="573E150A" w14:textId="54E6A56D" w:rsidR="00023D14" w:rsidRDefault="001173E0" w:rsidP="00BE2BD3">
            <w:pPr>
              <w:jc w:val="center"/>
            </w:pPr>
            <w:r>
              <w:t>4.89</w:t>
            </w:r>
          </w:p>
        </w:tc>
        <w:tc>
          <w:tcPr>
            <w:tcW w:w="850" w:type="dxa"/>
            <w:vAlign w:val="center"/>
          </w:tcPr>
          <w:p w14:paraId="03BA07E3" w14:textId="7CF4B5B3" w:rsidR="00023D14" w:rsidRDefault="001A3EDE" w:rsidP="00BE2BD3">
            <w:pPr>
              <w:jc w:val="center"/>
            </w:pPr>
            <w:r>
              <w:t>.86</w:t>
            </w:r>
          </w:p>
        </w:tc>
      </w:tr>
      <w:tr w:rsidR="00023D14" w14:paraId="670137C6" w14:textId="77777777" w:rsidTr="00BE2BD3">
        <w:tc>
          <w:tcPr>
            <w:tcW w:w="843" w:type="dxa"/>
          </w:tcPr>
          <w:p w14:paraId="7ED1366F" w14:textId="7C7DD739" w:rsidR="00023D14" w:rsidRPr="000C4473" w:rsidRDefault="00185F2E" w:rsidP="00725844">
            <w:pPr>
              <w:rPr>
                <w:rFonts w:cs="Times New Roman"/>
              </w:rPr>
            </w:pPr>
            <w:r>
              <w:rPr>
                <w:rFonts w:cs="Times New Roman"/>
              </w:rPr>
              <w:t>Anxiety</w:t>
            </w:r>
          </w:p>
        </w:tc>
        <w:tc>
          <w:tcPr>
            <w:tcW w:w="763" w:type="dxa"/>
            <w:vAlign w:val="center"/>
          </w:tcPr>
          <w:p w14:paraId="3B224912" w14:textId="22068879" w:rsidR="00023D14" w:rsidRDefault="003A0442" w:rsidP="00BE2BD3">
            <w:pPr>
              <w:jc w:val="center"/>
            </w:pPr>
            <w:r>
              <w:t>4.41</w:t>
            </w:r>
          </w:p>
        </w:tc>
        <w:tc>
          <w:tcPr>
            <w:tcW w:w="654" w:type="dxa"/>
            <w:vAlign w:val="center"/>
          </w:tcPr>
          <w:p w14:paraId="2D59FE0C" w14:textId="6BC7130B" w:rsidR="00023D14" w:rsidRDefault="00ED1C0B" w:rsidP="00BE2BD3">
            <w:pPr>
              <w:jc w:val="center"/>
            </w:pPr>
            <w:r>
              <w:t>3.93</w:t>
            </w:r>
          </w:p>
        </w:tc>
        <w:tc>
          <w:tcPr>
            <w:tcW w:w="820" w:type="dxa"/>
            <w:vAlign w:val="center"/>
          </w:tcPr>
          <w:p w14:paraId="7073E946" w14:textId="0477AFC8" w:rsidR="00023D14" w:rsidRDefault="007D14B2" w:rsidP="00BE2BD3">
            <w:pPr>
              <w:jc w:val="center"/>
            </w:pPr>
            <w:r>
              <w:t>.82</w:t>
            </w:r>
          </w:p>
        </w:tc>
        <w:tc>
          <w:tcPr>
            <w:tcW w:w="230" w:type="dxa"/>
            <w:vAlign w:val="center"/>
          </w:tcPr>
          <w:p w14:paraId="29C9173F" w14:textId="77777777" w:rsidR="00023D14" w:rsidRDefault="00023D14" w:rsidP="00BE2BD3">
            <w:pPr>
              <w:jc w:val="center"/>
            </w:pPr>
          </w:p>
        </w:tc>
        <w:tc>
          <w:tcPr>
            <w:tcW w:w="895" w:type="dxa"/>
            <w:vAlign w:val="center"/>
          </w:tcPr>
          <w:p w14:paraId="228D8642" w14:textId="00969A2C" w:rsidR="00023D14" w:rsidRDefault="00B02052" w:rsidP="00BE2BD3">
            <w:pPr>
              <w:jc w:val="center"/>
            </w:pPr>
            <w:r>
              <w:t>5.10</w:t>
            </w:r>
          </w:p>
        </w:tc>
        <w:tc>
          <w:tcPr>
            <w:tcW w:w="883" w:type="dxa"/>
            <w:vAlign w:val="center"/>
          </w:tcPr>
          <w:p w14:paraId="2A645890" w14:textId="298AB72D" w:rsidR="00023D14" w:rsidRDefault="00BE35E0" w:rsidP="00BE2BD3">
            <w:pPr>
              <w:jc w:val="center"/>
            </w:pPr>
            <w:r>
              <w:t>4.17</w:t>
            </w:r>
          </w:p>
        </w:tc>
        <w:tc>
          <w:tcPr>
            <w:tcW w:w="843" w:type="dxa"/>
            <w:vAlign w:val="center"/>
          </w:tcPr>
          <w:p w14:paraId="66A643D5" w14:textId="2E74E4B9" w:rsidR="00023D14" w:rsidRDefault="005F381B" w:rsidP="00BE2BD3">
            <w:pPr>
              <w:jc w:val="center"/>
            </w:pPr>
            <w:r>
              <w:t>.82</w:t>
            </w:r>
          </w:p>
        </w:tc>
        <w:tc>
          <w:tcPr>
            <w:tcW w:w="282" w:type="dxa"/>
            <w:vAlign w:val="center"/>
          </w:tcPr>
          <w:p w14:paraId="13853313" w14:textId="77777777" w:rsidR="00023D14" w:rsidRDefault="00023D14" w:rsidP="00BE2BD3">
            <w:pPr>
              <w:jc w:val="center"/>
            </w:pPr>
          </w:p>
        </w:tc>
        <w:tc>
          <w:tcPr>
            <w:tcW w:w="850" w:type="dxa"/>
            <w:vAlign w:val="center"/>
          </w:tcPr>
          <w:p w14:paraId="78051A91" w14:textId="31E071E8" w:rsidR="00023D14" w:rsidRDefault="00914E77" w:rsidP="00BE2BD3">
            <w:pPr>
              <w:jc w:val="center"/>
            </w:pPr>
            <w:r>
              <w:t>4.28</w:t>
            </w:r>
          </w:p>
        </w:tc>
        <w:tc>
          <w:tcPr>
            <w:tcW w:w="709" w:type="dxa"/>
            <w:vAlign w:val="center"/>
          </w:tcPr>
          <w:p w14:paraId="76D9357E" w14:textId="27B7FD75" w:rsidR="00023D14" w:rsidRDefault="00914E77" w:rsidP="00BE2BD3">
            <w:pPr>
              <w:jc w:val="center"/>
            </w:pPr>
            <w:r>
              <w:t>4.30</w:t>
            </w:r>
          </w:p>
        </w:tc>
        <w:tc>
          <w:tcPr>
            <w:tcW w:w="850" w:type="dxa"/>
            <w:vAlign w:val="center"/>
          </w:tcPr>
          <w:p w14:paraId="05E616B1" w14:textId="3257C75A" w:rsidR="00023D14" w:rsidRDefault="00777CDD" w:rsidP="00BE2BD3">
            <w:pPr>
              <w:jc w:val="center"/>
            </w:pPr>
            <w:r>
              <w:t>.85</w:t>
            </w:r>
          </w:p>
        </w:tc>
      </w:tr>
      <w:tr w:rsidR="00023D14" w14:paraId="541F8FBD" w14:textId="77777777" w:rsidTr="00BE2BD3">
        <w:tc>
          <w:tcPr>
            <w:tcW w:w="843" w:type="dxa"/>
          </w:tcPr>
          <w:p w14:paraId="102C4B15" w14:textId="50D79B3C" w:rsidR="00023D14" w:rsidRPr="000C4473" w:rsidRDefault="00185F2E" w:rsidP="00725844">
            <w:pPr>
              <w:rPr>
                <w:rFonts w:cs="Times New Roman"/>
              </w:rPr>
            </w:pPr>
            <w:r>
              <w:rPr>
                <w:rFonts w:cs="Times New Roman"/>
              </w:rPr>
              <w:t>Stress</w:t>
            </w:r>
          </w:p>
        </w:tc>
        <w:tc>
          <w:tcPr>
            <w:tcW w:w="763" w:type="dxa"/>
            <w:vAlign w:val="center"/>
          </w:tcPr>
          <w:p w14:paraId="0E490E11" w14:textId="4331A76C" w:rsidR="00023D14" w:rsidRDefault="00ED1C0B" w:rsidP="00BE2BD3">
            <w:pPr>
              <w:jc w:val="center"/>
            </w:pPr>
            <w:r>
              <w:t>8.15</w:t>
            </w:r>
          </w:p>
        </w:tc>
        <w:tc>
          <w:tcPr>
            <w:tcW w:w="654" w:type="dxa"/>
            <w:vAlign w:val="center"/>
          </w:tcPr>
          <w:p w14:paraId="23AD66D0" w14:textId="5AB593E5" w:rsidR="00023D14" w:rsidRDefault="00ED1C0B" w:rsidP="00BE2BD3">
            <w:pPr>
              <w:jc w:val="center"/>
            </w:pPr>
            <w:r>
              <w:t>5.09</w:t>
            </w:r>
          </w:p>
        </w:tc>
        <w:tc>
          <w:tcPr>
            <w:tcW w:w="820" w:type="dxa"/>
            <w:vAlign w:val="center"/>
          </w:tcPr>
          <w:p w14:paraId="4E4DFBB9" w14:textId="674E8E2B" w:rsidR="00023D14" w:rsidRDefault="002D5DB6" w:rsidP="00BE2BD3">
            <w:pPr>
              <w:jc w:val="center"/>
            </w:pPr>
            <w:r>
              <w:t>.88</w:t>
            </w:r>
          </w:p>
        </w:tc>
        <w:tc>
          <w:tcPr>
            <w:tcW w:w="230" w:type="dxa"/>
            <w:vAlign w:val="center"/>
          </w:tcPr>
          <w:p w14:paraId="20BED0F6" w14:textId="77777777" w:rsidR="00023D14" w:rsidRDefault="00023D14" w:rsidP="00BE2BD3">
            <w:pPr>
              <w:jc w:val="center"/>
            </w:pPr>
          </w:p>
        </w:tc>
        <w:tc>
          <w:tcPr>
            <w:tcW w:w="895" w:type="dxa"/>
            <w:vAlign w:val="center"/>
          </w:tcPr>
          <w:p w14:paraId="53631E4B" w14:textId="3058C0B3" w:rsidR="00023D14" w:rsidRDefault="00BE35E0" w:rsidP="00BE2BD3">
            <w:pPr>
              <w:jc w:val="center"/>
            </w:pPr>
            <w:r>
              <w:t>7.10</w:t>
            </w:r>
          </w:p>
        </w:tc>
        <w:tc>
          <w:tcPr>
            <w:tcW w:w="883" w:type="dxa"/>
            <w:vAlign w:val="center"/>
          </w:tcPr>
          <w:p w14:paraId="1C8E148A" w14:textId="75A5984D" w:rsidR="00023D14" w:rsidRDefault="00BE35E0" w:rsidP="00BE2BD3">
            <w:pPr>
              <w:jc w:val="center"/>
            </w:pPr>
            <w:r>
              <w:t>4.90</w:t>
            </w:r>
          </w:p>
        </w:tc>
        <w:tc>
          <w:tcPr>
            <w:tcW w:w="843" w:type="dxa"/>
            <w:vAlign w:val="center"/>
          </w:tcPr>
          <w:p w14:paraId="11B6BE30" w14:textId="634BEB9F" w:rsidR="00023D14" w:rsidRDefault="00297B4E" w:rsidP="00BE2BD3">
            <w:pPr>
              <w:jc w:val="center"/>
            </w:pPr>
            <w:r>
              <w:t>.87</w:t>
            </w:r>
          </w:p>
        </w:tc>
        <w:tc>
          <w:tcPr>
            <w:tcW w:w="282" w:type="dxa"/>
            <w:vAlign w:val="center"/>
          </w:tcPr>
          <w:p w14:paraId="2AAAF8ED" w14:textId="77777777" w:rsidR="00023D14" w:rsidRDefault="00023D14" w:rsidP="00BE2BD3">
            <w:pPr>
              <w:jc w:val="center"/>
            </w:pPr>
          </w:p>
        </w:tc>
        <w:tc>
          <w:tcPr>
            <w:tcW w:w="850" w:type="dxa"/>
            <w:vAlign w:val="center"/>
          </w:tcPr>
          <w:p w14:paraId="7C1C6C7E" w14:textId="37259307" w:rsidR="00023D14" w:rsidRDefault="00914E77" w:rsidP="00BE2BD3">
            <w:pPr>
              <w:jc w:val="center"/>
            </w:pPr>
            <w:r>
              <w:t>6.16</w:t>
            </w:r>
          </w:p>
        </w:tc>
        <w:tc>
          <w:tcPr>
            <w:tcW w:w="709" w:type="dxa"/>
            <w:vAlign w:val="center"/>
          </w:tcPr>
          <w:p w14:paraId="697B1A27" w14:textId="01D6A2CC" w:rsidR="00023D14" w:rsidRDefault="00914E77" w:rsidP="00BE2BD3">
            <w:pPr>
              <w:jc w:val="center"/>
            </w:pPr>
            <w:r>
              <w:t>5.02</w:t>
            </w:r>
          </w:p>
        </w:tc>
        <w:tc>
          <w:tcPr>
            <w:tcW w:w="850" w:type="dxa"/>
            <w:vAlign w:val="center"/>
          </w:tcPr>
          <w:p w14:paraId="32A73817" w14:textId="27307032" w:rsidR="00023D14" w:rsidRDefault="00AB7BF5" w:rsidP="00BE2BD3">
            <w:pPr>
              <w:jc w:val="center"/>
            </w:pPr>
            <w:r>
              <w:t>.87</w:t>
            </w:r>
          </w:p>
        </w:tc>
      </w:tr>
      <w:tr w:rsidR="00023D14" w14:paraId="63C5278E" w14:textId="77777777" w:rsidTr="00BE2BD3">
        <w:tc>
          <w:tcPr>
            <w:tcW w:w="843" w:type="dxa"/>
          </w:tcPr>
          <w:p w14:paraId="081602C0" w14:textId="3DBDC697" w:rsidR="00023D14" w:rsidRPr="000C4473" w:rsidRDefault="00185F2E" w:rsidP="00725844">
            <w:pPr>
              <w:rPr>
                <w:rFonts w:cs="Times New Roman"/>
              </w:rPr>
            </w:pPr>
            <w:r>
              <w:rPr>
                <w:rFonts w:cs="Times New Roman"/>
              </w:rPr>
              <w:t>Subjective Wellbeing</w:t>
            </w:r>
          </w:p>
        </w:tc>
        <w:tc>
          <w:tcPr>
            <w:tcW w:w="763" w:type="dxa"/>
            <w:vAlign w:val="center"/>
          </w:tcPr>
          <w:p w14:paraId="4F743FE3" w14:textId="3E7F868F" w:rsidR="00023D14" w:rsidRDefault="00ED1C0B" w:rsidP="00BE2BD3">
            <w:pPr>
              <w:jc w:val="center"/>
            </w:pPr>
            <w:r>
              <w:t>48.45</w:t>
            </w:r>
          </w:p>
        </w:tc>
        <w:tc>
          <w:tcPr>
            <w:tcW w:w="654" w:type="dxa"/>
            <w:vAlign w:val="center"/>
          </w:tcPr>
          <w:p w14:paraId="39C3D3E3" w14:textId="0B899965" w:rsidR="00023D14" w:rsidRDefault="00C70027" w:rsidP="00BE2BD3">
            <w:pPr>
              <w:jc w:val="center"/>
            </w:pPr>
            <w:r>
              <w:t>14.90</w:t>
            </w:r>
          </w:p>
        </w:tc>
        <w:tc>
          <w:tcPr>
            <w:tcW w:w="820" w:type="dxa"/>
            <w:vAlign w:val="center"/>
          </w:tcPr>
          <w:p w14:paraId="28A47EF0" w14:textId="20F52602" w:rsidR="00023D14" w:rsidRDefault="006E1E67" w:rsidP="00BE2BD3">
            <w:pPr>
              <w:jc w:val="center"/>
            </w:pPr>
            <w:r>
              <w:t>.89</w:t>
            </w:r>
          </w:p>
        </w:tc>
        <w:tc>
          <w:tcPr>
            <w:tcW w:w="230" w:type="dxa"/>
            <w:vAlign w:val="center"/>
          </w:tcPr>
          <w:p w14:paraId="49A67E00" w14:textId="77777777" w:rsidR="00023D14" w:rsidRDefault="00023D14" w:rsidP="00BE2BD3">
            <w:pPr>
              <w:jc w:val="center"/>
            </w:pPr>
          </w:p>
        </w:tc>
        <w:tc>
          <w:tcPr>
            <w:tcW w:w="895" w:type="dxa"/>
            <w:vAlign w:val="center"/>
          </w:tcPr>
          <w:p w14:paraId="133CA46A" w14:textId="1FA713D7" w:rsidR="00023D14" w:rsidRDefault="00592193" w:rsidP="00BE2BD3">
            <w:pPr>
              <w:jc w:val="center"/>
            </w:pPr>
            <w:r>
              <w:t>52.01</w:t>
            </w:r>
          </w:p>
        </w:tc>
        <w:tc>
          <w:tcPr>
            <w:tcW w:w="883" w:type="dxa"/>
            <w:vAlign w:val="center"/>
          </w:tcPr>
          <w:p w14:paraId="187C24E4" w14:textId="18A1D3B9" w:rsidR="00023D14" w:rsidRDefault="00F51A9D" w:rsidP="00BE2BD3">
            <w:pPr>
              <w:jc w:val="center"/>
            </w:pPr>
            <w:r>
              <w:t>15.32</w:t>
            </w:r>
          </w:p>
        </w:tc>
        <w:tc>
          <w:tcPr>
            <w:tcW w:w="843" w:type="dxa"/>
            <w:vAlign w:val="center"/>
          </w:tcPr>
          <w:p w14:paraId="6DA00303" w14:textId="45BEB6AE" w:rsidR="00023D14" w:rsidRDefault="0085586D" w:rsidP="00BE2BD3">
            <w:pPr>
              <w:jc w:val="center"/>
            </w:pPr>
            <w:r>
              <w:t>.89</w:t>
            </w:r>
          </w:p>
        </w:tc>
        <w:tc>
          <w:tcPr>
            <w:tcW w:w="282" w:type="dxa"/>
            <w:vAlign w:val="center"/>
          </w:tcPr>
          <w:p w14:paraId="2EA06F2B" w14:textId="77777777" w:rsidR="00023D14" w:rsidRDefault="00023D14" w:rsidP="00BE2BD3">
            <w:pPr>
              <w:jc w:val="center"/>
            </w:pPr>
          </w:p>
        </w:tc>
        <w:tc>
          <w:tcPr>
            <w:tcW w:w="850" w:type="dxa"/>
            <w:vAlign w:val="center"/>
          </w:tcPr>
          <w:p w14:paraId="5BD59FCF" w14:textId="3298DF46" w:rsidR="00023D14" w:rsidRDefault="00914E77" w:rsidP="00BE2BD3">
            <w:pPr>
              <w:jc w:val="center"/>
            </w:pPr>
            <w:r>
              <w:t>50.99</w:t>
            </w:r>
          </w:p>
        </w:tc>
        <w:tc>
          <w:tcPr>
            <w:tcW w:w="709" w:type="dxa"/>
            <w:vAlign w:val="center"/>
          </w:tcPr>
          <w:p w14:paraId="2D60A436" w14:textId="18CB50C6" w:rsidR="00023D14" w:rsidRDefault="00DE4236" w:rsidP="00BE2BD3">
            <w:pPr>
              <w:jc w:val="center"/>
            </w:pPr>
            <w:r>
              <w:t>14.50</w:t>
            </w:r>
          </w:p>
        </w:tc>
        <w:tc>
          <w:tcPr>
            <w:tcW w:w="850" w:type="dxa"/>
            <w:vAlign w:val="center"/>
          </w:tcPr>
          <w:p w14:paraId="6F88878D" w14:textId="2C344271" w:rsidR="00023D14" w:rsidRDefault="001A277D" w:rsidP="00BE2BD3">
            <w:pPr>
              <w:jc w:val="center"/>
            </w:pPr>
            <w:r>
              <w:t>.87</w:t>
            </w:r>
          </w:p>
        </w:tc>
      </w:tr>
      <w:tr w:rsidR="00023D14" w14:paraId="02E3F846" w14:textId="77777777" w:rsidTr="00BE2BD3">
        <w:tc>
          <w:tcPr>
            <w:tcW w:w="843" w:type="dxa"/>
            <w:tcBorders>
              <w:bottom w:val="single" w:sz="4" w:space="0" w:color="auto"/>
            </w:tcBorders>
          </w:tcPr>
          <w:p w14:paraId="50D5F52A" w14:textId="1619B3FA" w:rsidR="00023D14" w:rsidRPr="000C4473" w:rsidRDefault="00185F2E" w:rsidP="00725844">
            <w:pPr>
              <w:rPr>
                <w:rFonts w:cs="Times New Roman"/>
              </w:rPr>
            </w:pPr>
            <w:r>
              <w:rPr>
                <w:rFonts w:cs="Times New Roman"/>
              </w:rPr>
              <w:t xml:space="preserve">Intrinsic </w:t>
            </w:r>
            <w:r w:rsidR="00520F35">
              <w:rPr>
                <w:rFonts w:cs="Times New Roman"/>
              </w:rPr>
              <w:t>R</w:t>
            </w:r>
            <w:r>
              <w:rPr>
                <w:rFonts w:cs="Times New Roman"/>
              </w:rPr>
              <w:t>eligiosity</w:t>
            </w:r>
          </w:p>
        </w:tc>
        <w:tc>
          <w:tcPr>
            <w:tcW w:w="763" w:type="dxa"/>
            <w:tcBorders>
              <w:bottom w:val="single" w:sz="4" w:space="0" w:color="auto"/>
            </w:tcBorders>
            <w:vAlign w:val="center"/>
          </w:tcPr>
          <w:p w14:paraId="3B2B1A69" w14:textId="14875662" w:rsidR="00023D14" w:rsidRDefault="00C70027" w:rsidP="00BE2BD3">
            <w:pPr>
              <w:jc w:val="center"/>
            </w:pPr>
            <w:r>
              <w:t>7.31</w:t>
            </w:r>
          </w:p>
        </w:tc>
        <w:tc>
          <w:tcPr>
            <w:tcW w:w="654" w:type="dxa"/>
            <w:tcBorders>
              <w:bottom w:val="single" w:sz="4" w:space="0" w:color="auto"/>
            </w:tcBorders>
            <w:vAlign w:val="center"/>
          </w:tcPr>
          <w:p w14:paraId="7FA0F2ED" w14:textId="266545E1" w:rsidR="00023D14" w:rsidRDefault="00C70027" w:rsidP="00BE2BD3">
            <w:pPr>
              <w:jc w:val="center"/>
            </w:pPr>
            <w:r>
              <w:t>4.21</w:t>
            </w:r>
          </w:p>
        </w:tc>
        <w:tc>
          <w:tcPr>
            <w:tcW w:w="820" w:type="dxa"/>
            <w:tcBorders>
              <w:bottom w:val="single" w:sz="4" w:space="0" w:color="auto"/>
            </w:tcBorders>
            <w:vAlign w:val="center"/>
          </w:tcPr>
          <w:p w14:paraId="5C94648F" w14:textId="27171254" w:rsidR="00023D14" w:rsidRDefault="005320FA" w:rsidP="00BE2BD3">
            <w:pPr>
              <w:jc w:val="center"/>
            </w:pPr>
            <w:r>
              <w:t>.93</w:t>
            </w:r>
          </w:p>
        </w:tc>
        <w:tc>
          <w:tcPr>
            <w:tcW w:w="230" w:type="dxa"/>
            <w:tcBorders>
              <w:bottom w:val="single" w:sz="4" w:space="0" w:color="auto"/>
            </w:tcBorders>
            <w:vAlign w:val="center"/>
          </w:tcPr>
          <w:p w14:paraId="43E2A288" w14:textId="77777777" w:rsidR="00023D14" w:rsidRDefault="00023D14" w:rsidP="00BE2BD3">
            <w:pPr>
              <w:jc w:val="center"/>
            </w:pPr>
          </w:p>
        </w:tc>
        <w:tc>
          <w:tcPr>
            <w:tcW w:w="895" w:type="dxa"/>
            <w:tcBorders>
              <w:bottom w:val="single" w:sz="4" w:space="0" w:color="auto"/>
            </w:tcBorders>
            <w:vAlign w:val="center"/>
          </w:tcPr>
          <w:p w14:paraId="68821A6A" w14:textId="18D6E986" w:rsidR="00023D14" w:rsidRDefault="00F51A9D" w:rsidP="00BE2BD3">
            <w:pPr>
              <w:jc w:val="center"/>
            </w:pPr>
            <w:r>
              <w:t>9.62</w:t>
            </w:r>
          </w:p>
        </w:tc>
        <w:tc>
          <w:tcPr>
            <w:tcW w:w="883" w:type="dxa"/>
            <w:tcBorders>
              <w:bottom w:val="single" w:sz="4" w:space="0" w:color="auto"/>
            </w:tcBorders>
            <w:vAlign w:val="center"/>
          </w:tcPr>
          <w:p w14:paraId="623C3AA2" w14:textId="48A65E3B" w:rsidR="00023D14" w:rsidRDefault="00F51A9D" w:rsidP="00BE2BD3">
            <w:pPr>
              <w:jc w:val="center"/>
            </w:pPr>
            <w:r>
              <w:t>3.21</w:t>
            </w:r>
          </w:p>
        </w:tc>
        <w:tc>
          <w:tcPr>
            <w:tcW w:w="843" w:type="dxa"/>
            <w:tcBorders>
              <w:bottom w:val="single" w:sz="4" w:space="0" w:color="auto"/>
            </w:tcBorders>
            <w:vAlign w:val="center"/>
          </w:tcPr>
          <w:p w14:paraId="3BA248CC" w14:textId="6E73E4A3" w:rsidR="00023D14" w:rsidRDefault="00472873" w:rsidP="00BE2BD3">
            <w:pPr>
              <w:jc w:val="center"/>
            </w:pPr>
            <w:r>
              <w:t>.75</w:t>
            </w:r>
          </w:p>
        </w:tc>
        <w:tc>
          <w:tcPr>
            <w:tcW w:w="282" w:type="dxa"/>
            <w:tcBorders>
              <w:bottom w:val="single" w:sz="4" w:space="0" w:color="auto"/>
            </w:tcBorders>
            <w:vAlign w:val="center"/>
          </w:tcPr>
          <w:p w14:paraId="5BCF7BD2" w14:textId="77777777" w:rsidR="00023D14" w:rsidRDefault="00023D14" w:rsidP="00BE2BD3">
            <w:pPr>
              <w:jc w:val="center"/>
            </w:pPr>
          </w:p>
        </w:tc>
        <w:tc>
          <w:tcPr>
            <w:tcW w:w="850" w:type="dxa"/>
            <w:tcBorders>
              <w:bottom w:val="single" w:sz="4" w:space="0" w:color="auto"/>
            </w:tcBorders>
            <w:vAlign w:val="center"/>
          </w:tcPr>
          <w:p w14:paraId="41CE0C98" w14:textId="5C38169D" w:rsidR="00023D14" w:rsidRDefault="00DE4236" w:rsidP="00BE2BD3">
            <w:pPr>
              <w:jc w:val="center"/>
            </w:pPr>
            <w:r>
              <w:t>10.17</w:t>
            </w:r>
          </w:p>
        </w:tc>
        <w:tc>
          <w:tcPr>
            <w:tcW w:w="709" w:type="dxa"/>
            <w:tcBorders>
              <w:bottom w:val="single" w:sz="4" w:space="0" w:color="auto"/>
            </w:tcBorders>
            <w:vAlign w:val="center"/>
          </w:tcPr>
          <w:p w14:paraId="18C5ECE0" w14:textId="1903A2FE" w:rsidR="00023D14" w:rsidRDefault="00DE4236" w:rsidP="00BE2BD3">
            <w:pPr>
              <w:jc w:val="center"/>
            </w:pPr>
            <w:r>
              <w:t>2.82</w:t>
            </w:r>
          </w:p>
        </w:tc>
        <w:tc>
          <w:tcPr>
            <w:tcW w:w="850" w:type="dxa"/>
            <w:tcBorders>
              <w:bottom w:val="single" w:sz="4" w:space="0" w:color="auto"/>
            </w:tcBorders>
            <w:vAlign w:val="center"/>
          </w:tcPr>
          <w:p w14:paraId="7C1D160D" w14:textId="6F13CC86" w:rsidR="00023D14" w:rsidRDefault="00446D0F" w:rsidP="00BE2BD3">
            <w:pPr>
              <w:jc w:val="center"/>
            </w:pPr>
            <w:r>
              <w:t>.79</w:t>
            </w:r>
          </w:p>
        </w:tc>
      </w:tr>
    </w:tbl>
    <w:p w14:paraId="01071892" w14:textId="6EFD09B9" w:rsidR="00201458" w:rsidRDefault="00201458">
      <w:pPr>
        <w:spacing w:before="0" w:after="200" w:line="276" w:lineRule="auto"/>
        <w:rPr>
          <w:rFonts w:cstheme="minorHAnsi"/>
        </w:rPr>
      </w:pPr>
      <w:r>
        <w:rPr>
          <w:rFonts w:cstheme="minorHAnsi"/>
        </w:rPr>
        <w:br w:type="page"/>
      </w:r>
    </w:p>
    <w:p w14:paraId="05E6EEC7" w14:textId="348B52F3" w:rsidR="00950F64" w:rsidRPr="00E34C7C" w:rsidRDefault="00950F64" w:rsidP="00950F64">
      <w:pPr>
        <w:rPr>
          <w:rFonts w:cstheme="minorHAnsi"/>
        </w:rPr>
      </w:pPr>
      <w:r>
        <w:rPr>
          <w:rFonts w:cstheme="minorHAnsi"/>
        </w:rPr>
        <w:lastRenderedPageBreak/>
        <w:t>Table 3. Correlations for CFTS total</w:t>
      </w:r>
      <w:r w:rsidR="005709C4">
        <w:rPr>
          <w:rFonts w:cstheme="minorHAnsi"/>
        </w:rPr>
        <w:t>,</w:t>
      </w:r>
      <w:r>
        <w:rPr>
          <w:rFonts w:cstheme="minorHAnsi"/>
        </w:rPr>
        <w:t xml:space="preserve"> Fear, and Threat scores and scores on psychological distress, wellbeing, and </w:t>
      </w:r>
      <w:r w:rsidR="005709C4">
        <w:rPr>
          <w:rFonts w:cstheme="minorHAnsi"/>
        </w:rPr>
        <w:t>religiosity</w:t>
      </w:r>
      <w:r w:rsidR="00C025AE">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86"/>
        <w:gridCol w:w="775"/>
        <w:gridCol w:w="769"/>
        <w:gridCol w:w="228"/>
        <w:gridCol w:w="786"/>
        <w:gridCol w:w="666"/>
        <w:gridCol w:w="839"/>
        <w:gridCol w:w="228"/>
        <w:gridCol w:w="786"/>
        <w:gridCol w:w="666"/>
        <w:gridCol w:w="839"/>
      </w:tblGrid>
      <w:tr w:rsidR="00950F64" w:rsidRPr="00053BD2" w14:paraId="4EAC751C" w14:textId="77777777" w:rsidTr="00822F23">
        <w:tc>
          <w:tcPr>
            <w:tcW w:w="2075" w:type="dxa"/>
            <w:tcBorders>
              <w:top w:val="single" w:sz="4" w:space="0" w:color="auto"/>
            </w:tcBorders>
            <w:shd w:val="clear" w:color="auto" w:fill="auto"/>
          </w:tcPr>
          <w:p w14:paraId="0762F720" w14:textId="77777777" w:rsidR="00950F64" w:rsidRPr="00053BD2" w:rsidRDefault="00950F64" w:rsidP="005D0A79">
            <w:pPr>
              <w:rPr>
                <w:sz w:val="20"/>
                <w:szCs w:val="20"/>
              </w:rPr>
            </w:pPr>
          </w:p>
        </w:tc>
        <w:tc>
          <w:tcPr>
            <w:tcW w:w="2330" w:type="dxa"/>
            <w:gridSpan w:val="3"/>
            <w:tcBorders>
              <w:top w:val="single" w:sz="4" w:space="0" w:color="auto"/>
              <w:bottom w:val="single" w:sz="4" w:space="0" w:color="auto"/>
            </w:tcBorders>
            <w:shd w:val="clear" w:color="auto" w:fill="auto"/>
            <w:vAlign w:val="center"/>
          </w:tcPr>
          <w:p w14:paraId="7AAF4E41" w14:textId="16ABAFB4" w:rsidR="00950F64" w:rsidRPr="00053BD2" w:rsidRDefault="005A0B7F" w:rsidP="007E0FE9">
            <w:pPr>
              <w:jc w:val="center"/>
              <w:rPr>
                <w:sz w:val="20"/>
                <w:szCs w:val="20"/>
              </w:rPr>
            </w:pPr>
            <w:r w:rsidRPr="005A0B7F">
              <w:rPr>
                <w:sz w:val="20"/>
                <w:szCs w:val="20"/>
              </w:rPr>
              <w:t>Australian (</w:t>
            </w:r>
            <w:r w:rsidRPr="00E503D9">
              <w:rPr>
                <w:i/>
                <w:iCs/>
                <w:sz w:val="20"/>
                <w:szCs w:val="20"/>
              </w:rPr>
              <w:t>n</w:t>
            </w:r>
            <w:r w:rsidR="002B6BC0">
              <w:rPr>
                <w:i/>
                <w:iCs/>
                <w:sz w:val="20"/>
                <w:szCs w:val="20"/>
              </w:rPr>
              <w:t xml:space="preserve"> </w:t>
            </w:r>
            <w:r w:rsidRPr="005A0B7F">
              <w:rPr>
                <w:sz w:val="20"/>
                <w:szCs w:val="20"/>
              </w:rPr>
              <w:t>=</w:t>
            </w:r>
            <w:r w:rsidR="002B6BC0">
              <w:rPr>
                <w:sz w:val="20"/>
                <w:szCs w:val="20"/>
              </w:rPr>
              <w:t xml:space="preserve"> </w:t>
            </w:r>
            <w:r w:rsidRPr="005A0B7F">
              <w:rPr>
                <w:sz w:val="20"/>
                <w:szCs w:val="20"/>
              </w:rPr>
              <w:t>155)</w:t>
            </w:r>
          </w:p>
        </w:tc>
        <w:tc>
          <w:tcPr>
            <w:tcW w:w="228" w:type="dxa"/>
            <w:tcBorders>
              <w:top w:val="single" w:sz="4" w:space="0" w:color="auto"/>
              <w:bottom w:val="single" w:sz="4" w:space="0" w:color="auto"/>
            </w:tcBorders>
            <w:shd w:val="clear" w:color="auto" w:fill="auto"/>
            <w:vAlign w:val="center"/>
          </w:tcPr>
          <w:p w14:paraId="325A0654" w14:textId="77777777" w:rsidR="00950F64" w:rsidRPr="00053BD2" w:rsidRDefault="00950F64" w:rsidP="007E0FE9">
            <w:pPr>
              <w:jc w:val="center"/>
              <w:rPr>
                <w:sz w:val="20"/>
                <w:szCs w:val="20"/>
              </w:rPr>
            </w:pPr>
          </w:p>
        </w:tc>
        <w:tc>
          <w:tcPr>
            <w:tcW w:w="2291" w:type="dxa"/>
            <w:gridSpan w:val="3"/>
            <w:tcBorders>
              <w:top w:val="single" w:sz="4" w:space="0" w:color="auto"/>
              <w:bottom w:val="single" w:sz="4" w:space="0" w:color="auto"/>
            </w:tcBorders>
            <w:shd w:val="clear" w:color="auto" w:fill="auto"/>
            <w:vAlign w:val="center"/>
          </w:tcPr>
          <w:p w14:paraId="42B1A1F4" w14:textId="7B020F1A" w:rsidR="00950F64" w:rsidRPr="00053BD2" w:rsidRDefault="005A0B7F" w:rsidP="007E0FE9">
            <w:pPr>
              <w:jc w:val="center"/>
              <w:rPr>
                <w:sz w:val="20"/>
                <w:szCs w:val="20"/>
              </w:rPr>
            </w:pPr>
            <w:r w:rsidRPr="005A0B7F">
              <w:rPr>
                <w:sz w:val="20"/>
                <w:szCs w:val="20"/>
              </w:rPr>
              <w:t>Indian (</w:t>
            </w:r>
            <w:r w:rsidRPr="00E503D9">
              <w:rPr>
                <w:i/>
                <w:iCs/>
                <w:sz w:val="20"/>
                <w:szCs w:val="20"/>
              </w:rPr>
              <w:t>n</w:t>
            </w:r>
            <w:r w:rsidR="002B6BC0">
              <w:rPr>
                <w:i/>
                <w:iCs/>
                <w:sz w:val="20"/>
                <w:szCs w:val="20"/>
              </w:rPr>
              <w:t xml:space="preserve"> </w:t>
            </w:r>
            <w:r w:rsidRPr="005A0B7F">
              <w:rPr>
                <w:sz w:val="20"/>
                <w:szCs w:val="20"/>
              </w:rPr>
              <w:t>=</w:t>
            </w:r>
            <w:r w:rsidR="002B6BC0">
              <w:rPr>
                <w:sz w:val="20"/>
                <w:szCs w:val="20"/>
              </w:rPr>
              <w:t xml:space="preserve"> </w:t>
            </w:r>
            <w:r w:rsidRPr="005A0B7F">
              <w:rPr>
                <w:sz w:val="20"/>
                <w:szCs w:val="20"/>
              </w:rPr>
              <w:t>111)</w:t>
            </w:r>
          </w:p>
        </w:tc>
        <w:tc>
          <w:tcPr>
            <w:tcW w:w="228" w:type="dxa"/>
            <w:tcBorders>
              <w:top w:val="single" w:sz="4" w:space="0" w:color="auto"/>
              <w:bottom w:val="single" w:sz="4" w:space="0" w:color="auto"/>
            </w:tcBorders>
            <w:shd w:val="clear" w:color="auto" w:fill="auto"/>
            <w:vAlign w:val="center"/>
          </w:tcPr>
          <w:p w14:paraId="339ED486" w14:textId="77777777" w:rsidR="00950F64" w:rsidRPr="00053BD2" w:rsidRDefault="00950F64" w:rsidP="007E0FE9">
            <w:pPr>
              <w:jc w:val="center"/>
              <w:rPr>
                <w:sz w:val="20"/>
                <w:szCs w:val="20"/>
              </w:rPr>
            </w:pPr>
          </w:p>
        </w:tc>
        <w:tc>
          <w:tcPr>
            <w:tcW w:w="2291" w:type="dxa"/>
            <w:gridSpan w:val="3"/>
            <w:tcBorders>
              <w:top w:val="single" w:sz="4" w:space="0" w:color="auto"/>
              <w:bottom w:val="single" w:sz="4" w:space="0" w:color="auto"/>
            </w:tcBorders>
            <w:shd w:val="clear" w:color="auto" w:fill="auto"/>
            <w:vAlign w:val="center"/>
          </w:tcPr>
          <w:p w14:paraId="6F4BEC13" w14:textId="7870C322" w:rsidR="00950F64" w:rsidRPr="00053BD2" w:rsidRDefault="005A0B7F" w:rsidP="007E0FE9">
            <w:pPr>
              <w:jc w:val="center"/>
              <w:rPr>
                <w:sz w:val="20"/>
                <w:szCs w:val="20"/>
              </w:rPr>
            </w:pPr>
            <w:r w:rsidRPr="005A0B7F">
              <w:rPr>
                <w:sz w:val="20"/>
                <w:szCs w:val="20"/>
              </w:rPr>
              <w:t>Nepali (</w:t>
            </w:r>
            <w:r w:rsidRPr="00E503D9">
              <w:rPr>
                <w:i/>
                <w:iCs/>
                <w:sz w:val="20"/>
                <w:szCs w:val="20"/>
              </w:rPr>
              <w:t>n</w:t>
            </w:r>
            <w:r w:rsidR="002B6BC0">
              <w:rPr>
                <w:i/>
                <w:iCs/>
                <w:sz w:val="20"/>
                <w:szCs w:val="20"/>
              </w:rPr>
              <w:t xml:space="preserve"> </w:t>
            </w:r>
            <w:r w:rsidRPr="005A0B7F">
              <w:rPr>
                <w:sz w:val="20"/>
                <w:szCs w:val="20"/>
              </w:rPr>
              <w:t>=</w:t>
            </w:r>
            <w:r w:rsidR="002B6BC0">
              <w:rPr>
                <w:sz w:val="20"/>
                <w:szCs w:val="20"/>
              </w:rPr>
              <w:t xml:space="preserve"> </w:t>
            </w:r>
            <w:r w:rsidRPr="005A0B7F">
              <w:rPr>
                <w:sz w:val="20"/>
                <w:szCs w:val="20"/>
              </w:rPr>
              <w:t>148)</w:t>
            </w:r>
          </w:p>
        </w:tc>
      </w:tr>
      <w:tr w:rsidR="00950F64" w:rsidRPr="00053BD2" w14:paraId="4973CD62" w14:textId="77777777" w:rsidTr="00822F23">
        <w:tc>
          <w:tcPr>
            <w:tcW w:w="2075" w:type="dxa"/>
            <w:tcBorders>
              <w:bottom w:val="single" w:sz="4" w:space="0" w:color="auto"/>
            </w:tcBorders>
            <w:shd w:val="clear" w:color="auto" w:fill="auto"/>
          </w:tcPr>
          <w:p w14:paraId="491595B4" w14:textId="77777777" w:rsidR="00950F64" w:rsidRPr="00053BD2" w:rsidRDefault="00950F64" w:rsidP="005D0A79">
            <w:pPr>
              <w:rPr>
                <w:sz w:val="20"/>
                <w:szCs w:val="20"/>
              </w:rPr>
            </w:pPr>
          </w:p>
        </w:tc>
        <w:tc>
          <w:tcPr>
            <w:tcW w:w="786" w:type="dxa"/>
            <w:tcBorders>
              <w:top w:val="single" w:sz="4" w:space="0" w:color="auto"/>
              <w:bottom w:val="single" w:sz="4" w:space="0" w:color="auto"/>
            </w:tcBorders>
            <w:shd w:val="clear" w:color="auto" w:fill="auto"/>
            <w:vAlign w:val="center"/>
          </w:tcPr>
          <w:p w14:paraId="5C1CEEC2" w14:textId="77777777" w:rsidR="00950F64" w:rsidRPr="00053BD2" w:rsidRDefault="00950F64" w:rsidP="007E0FE9">
            <w:pPr>
              <w:jc w:val="center"/>
              <w:rPr>
                <w:sz w:val="20"/>
                <w:szCs w:val="20"/>
              </w:rPr>
            </w:pPr>
            <w:r w:rsidRPr="00053BD2">
              <w:rPr>
                <w:sz w:val="20"/>
                <w:szCs w:val="20"/>
              </w:rPr>
              <w:t>CFTS</w:t>
            </w:r>
          </w:p>
        </w:tc>
        <w:tc>
          <w:tcPr>
            <w:tcW w:w="775" w:type="dxa"/>
            <w:tcBorders>
              <w:top w:val="single" w:sz="4" w:space="0" w:color="auto"/>
              <w:bottom w:val="single" w:sz="4" w:space="0" w:color="auto"/>
            </w:tcBorders>
            <w:shd w:val="clear" w:color="auto" w:fill="auto"/>
            <w:vAlign w:val="center"/>
          </w:tcPr>
          <w:p w14:paraId="5D00768B" w14:textId="77777777" w:rsidR="00950F64" w:rsidRPr="00053BD2" w:rsidRDefault="00950F64" w:rsidP="007E0FE9">
            <w:pPr>
              <w:jc w:val="center"/>
              <w:rPr>
                <w:sz w:val="20"/>
                <w:szCs w:val="20"/>
              </w:rPr>
            </w:pPr>
            <w:r w:rsidRPr="00053BD2">
              <w:rPr>
                <w:sz w:val="20"/>
                <w:szCs w:val="20"/>
              </w:rPr>
              <w:t>Fear</w:t>
            </w:r>
          </w:p>
        </w:tc>
        <w:tc>
          <w:tcPr>
            <w:tcW w:w="769" w:type="dxa"/>
            <w:tcBorders>
              <w:top w:val="single" w:sz="4" w:space="0" w:color="auto"/>
              <w:bottom w:val="single" w:sz="4" w:space="0" w:color="auto"/>
            </w:tcBorders>
            <w:shd w:val="clear" w:color="auto" w:fill="auto"/>
            <w:vAlign w:val="center"/>
          </w:tcPr>
          <w:p w14:paraId="75D0AC2D" w14:textId="77777777" w:rsidR="00950F64" w:rsidRPr="00053BD2" w:rsidRDefault="00950F64" w:rsidP="007E0FE9">
            <w:pPr>
              <w:jc w:val="center"/>
              <w:rPr>
                <w:sz w:val="20"/>
                <w:szCs w:val="20"/>
              </w:rPr>
            </w:pPr>
            <w:r w:rsidRPr="00053BD2">
              <w:rPr>
                <w:sz w:val="20"/>
                <w:szCs w:val="20"/>
              </w:rPr>
              <w:t>Threat</w:t>
            </w:r>
          </w:p>
        </w:tc>
        <w:tc>
          <w:tcPr>
            <w:tcW w:w="228" w:type="dxa"/>
            <w:tcBorders>
              <w:top w:val="single" w:sz="4" w:space="0" w:color="auto"/>
              <w:bottom w:val="single" w:sz="4" w:space="0" w:color="auto"/>
            </w:tcBorders>
            <w:shd w:val="clear" w:color="auto" w:fill="auto"/>
            <w:vAlign w:val="center"/>
          </w:tcPr>
          <w:p w14:paraId="616A39F3" w14:textId="77777777" w:rsidR="00950F64" w:rsidRPr="00053BD2" w:rsidRDefault="00950F64" w:rsidP="007E0FE9">
            <w:pPr>
              <w:jc w:val="center"/>
              <w:rPr>
                <w:sz w:val="20"/>
                <w:szCs w:val="20"/>
              </w:rPr>
            </w:pPr>
          </w:p>
        </w:tc>
        <w:tc>
          <w:tcPr>
            <w:tcW w:w="786" w:type="dxa"/>
            <w:tcBorders>
              <w:top w:val="single" w:sz="4" w:space="0" w:color="auto"/>
              <w:bottom w:val="single" w:sz="4" w:space="0" w:color="auto"/>
            </w:tcBorders>
            <w:shd w:val="clear" w:color="auto" w:fill="auto"/>
            <w:vAlign w:val="center"/>
          </w:tcPr>
          <w:p w14:paraId="433E0601" w14:textId="77777777" w:rsidR="00950F64" w:rsidRPr="00053BD2" w:rsidRDefault="00950F64" w:rsidP="007E0FE9">
            <w:pPr>
              <w:jc w:val="center"/>
              <w:rPr>
                <w:sz w:val="20"/>
                <w:szCs w:val="20"/>
              </w:rPr>
            </w:pPr>
            <w:r w:rsidRPr="00053BD2">
              <w:rPr>
                <w:sz w:val="20"/>
                <w:szCs w:val="20"/>
              </w:rPr>
              <w:t>CFTS</w:t>
            </w:r>
          </w:p>
        </w:tc>
        <w:tc>
          <w:tcPr>
            <w:tcW w:w="666" w:type="dxa"/>
            <w:tcBorders>
              <w:top w:val="single" w:sz="4" w:space="0" w:color="auto"/>
              <w:bottom w:val="single" w:sz="4" w:space="0" w:color="auto"/>
            </w:tcBorders>
            <w:shd w:val="clear" w:color="auto" w:fill="auto"/>
            <w:vAlign w:val="center"/>
          </w:tcPr>
          <w:p w14:paraId="3D792F54" w14:textId="77777777" w:rsidR="00950F64" w:rsidRPr="00053BD2" w:rsidRDefault="00950F64" w:rsidP="007E0FE9">
            <w:pPr>
              <w:jc w:val="center"/>
              <w:rPr>
                <w:sz w:val="20"/>
                <w:szCs w:val="20"/>
              </w:rPr>
            </w:pPr>
            <w:r w:rsidRPr="00053BD2">
              <w:rPr>
                <w:sz w:val="20"/>
                <w:szCs w:val="20"/>
              </w:rPr>
              <w:t>Fear</w:t>
            </w:r>
          </w:p>
        </w:tc>
        <w:tc>
          <w:tcPr>
            <w:tcW w:w="839" w:type="dxa"/>
            <w:tcBorders>
              <w:top w:val="single" w:sz="4" w:space="0" w:color="auto"/>
              <w:bottom w:val="single" w:sz="4" w:space="0" w:color="auto"/>
            </w:tcBorders>
            <w:shd w:val="clear" w:color="auto" w:fill="auto"/>
            <w:vAlign w:val="center"/>
          </w:tcPr>
          <w:p w14:paraId="6D19709F" w14:textId="77777777" w:rsidR="00950F64" w:rsidRPr="00053BD2" w:rsidRDefault="00950F64" w:rsidP="007E0FE9">
            <w:pPr>
              <w:jc w:val="center"/>
              <w:rPr>
                <w:sz w:val="20"/>
                <w:szCs w:val="20"/>
              </w:rPr>
            </w:pPr>
            <w:r w:rsidRPr="00053BD2">
              <w:rPr>
                <w:sz w:val="20"/>
                <w:szCs w:val="20"/>
              </w:rPr>
              <w:t>Threat</w:t>
            </w:r>
          </w:p>
        </w:tc>
        <w:tc>
          <w:tcPr>
            <w:tcW w:w="228" w:type="dxa"/>
            <w:tcBorders>
              <w:top w:val="single" w:sz="4" w:space="0" w:color="auto"/>
              <w:bottom w:val="single" w:sz="4" w:space="0" w:color="auto"/>
            </w:tcBorders>
            <w:shd w:val="clear" w:color="auto" w:fill="auto"/>
            <w:vAlign w:val="center"/>
          </w:tcPr>
          <w:p w14:paraId="04026C11" w14:textId="77777777" w:rsidR="00950F64" w:rsidRPr="00053BD2" w:rsidRDefault="00950F64" w:rsidP="007E0FE9">
            <w:pPr>
              <w:jc w:val="center"/>
              <w:rPr>
                <w:sz w:val="20"/>
                <w:szCs w:val="20"/>
              </w:rPr>
            </w:pPr>
          </w:p>
        </w:tc>
        <w:tc>
          <w:tcPr>
            <w:tcW w:w="786" w:type="dxa"/>
            <w:tcBorders>
              <w:top w:val="single" w:sz="4" w:space="0" w:color="auto"/>
              <w:bottom w:val="single" w:sz="4" w:space="0" w:color="auto"/>
            </w:tcBorders>
            <w:shd w:val="clear" w:color="auto" w:fill="auto"/>
            <w:vAlign w:val="center"/>
          </w:tcPr>
          <w:p w14:paraId="6BF875A8" w14:textId="77777777" w:rsidR="00950F64" w:rsidRPr="00053BD2" w:rsidRDefault="00950F64" w:rsidP="007E0FE9">
            <w:pPr>
              <w:jc w:val="center"/>
              <w:rPr>
                <w:sz w:val="20"/>
                <w:szCs w:val="20"/>
              </w:rPr>
            </w:pPr>
            <w:r w:rsidRPr="00053BD2">
              <w:rPr>
                <w:sz w:val="20"/>
                <w:szCs w:val="20"/>
              </w:rPr>
              <w:t>CFTS</w:t>
            </w:r>
          </w:p>
        </w:tc>
        <w:tc>
          <w:tcPr>
            <w:tcW w:w="666" w:type="dxa"/>
            <w:tcBorders>
              <w:top w:val="single" w:sz="4" w:space="0" w:color="auto"/>
              <w:bottom w:val="single" w:sz="4" w:space="0" w:color="auto"/>
            </w:tcBorders>
            <w:shd w:val="clear" w:color="auto" w:fill="auto"/>
            <w:vAlign w:val="center"/>
          </w:tcPr>
          <w:p w14:paraId="35C691B0" w14:textId="77777777" w:rsidR="00950F64" w:rsidRPr="00053BD2" w:rsidRDefault="00950F64" w:rsidP="007E0FE9">
            <w:pPr>
              <w:jc w:val="center"/>
              <w:rPr>
                <w:sz w:val="20"/>
                <w:szCs w:val="20"/>
              </w:rPr>
            </w:pPr>
            <w:r w:rsidRPr="00053BD2">
              <w:rPr>
                <w:sz w:val="20"/>
                <w:szCs w:val="20"/>
              </w:rPr>
              <w:t>Fear</w:t>
            </w:r>
          </w:p>
        </w:tc>
        <w:tc>
          <w:tcPr>
            <w:tcW w:w="839" w:type="dxa"/>
            <w:tcBorders>
              <w:top w:val="single" w:sz="4" w:space="0" w:color="auto"/>
              <w:bottom w:val="single" w:sz="4" w:space="0" w:color="auto"/>
            </w:tcBorders>
            <w:shd w:val="clear" w:color="auto" w:fill="auto"/>
            <w:vAlign w:val="center"/>
          </w:tcPr>
          <w:p w14:paraId="1DCFD6E5" w14:textId="77777777" w:rsidR="00950F64" w:rsidRPr="00053BD2" w:rsidRDefault="00950F64" w:rsidP="007E0FE9">
            <w:pPr>
              <w:jc w:val="center"/>
              <w:rPr>
                <w:sz w:val="20"/>
                <w:szCs w:val="20"/>
              </w:rPr>
            </w:pPr>
            <w:r w:rsidRPr="00053BD2">
              <w:rPr>
                <w:sz w:val="20"/>
                <w:szCs w:val="20"/>
              </w:rPr>
              <w:t>Threat</w:t>
            </w:r>
          </w:p>
        </w:tc>
      </w:tr>
      <w:tr w:rsidR="00950F64" w:rsidRPr="00053BD2" w14:paraId="4BAB4CB3" w14:textId="77777777" w:rsidTr="007E0FE9">
        <w:tc>
          <w:tcPr>
            <w:tcW w:w="2075" w:type="dxa"/>
            <w:shd w:val="clear" w:color="auto" w:fill="auto"/>
            <w:vAlign w:val="center"/>
          </w:tcPr>
          <w:p w14:paraId="2268A16D" w14:textId="77777777" w:rsidR="00950F64" w:rsidRPr="00053BD2" w:rsidRDefault="00950F64" w:rsidP="00B027C2">
            <w:pPr>
              <w:rPr>
                <w:sz w:val="20"/>
                <w:szCs w:val="20"/>
              </w:rPr>
            </w:pPr>
            <w:r w:rsidRPr="00053BD2">
              <w:rPr>
                <w:sz w:val="20"/>
                <w:szCs w:val="20"/>
              </w:rPr>
              <w:t>DASS-21 total</w:t>
            </w:r>
          </w:p>
        </w:tc>
        <w:tc>
          <w:tcPr>
            <w:tcW w:w="786" w:type="dxa"/>
            <w:shd w:val="clear" w:color="auto" w:fill="auto"/>
            <w:vAlign w:val="center"/>
          </w:tcPr>
          <w:p w14:paraId="2305A7B8" w14:textId="7A35FEB6" w:rsidR="00950F64" w:rsidRPr="00053BD2" w:rsidRDefault="00552A07" w:rsidP="007E0FE9">
            <w:pPr>
              <w:jc w:val="center"/>
              <w:rPr>
                <w:sz w:val="20"/>
                <w:szCs w:val="20"/>
              </w:rPr>
            </w:pPr>
            <w:r>
              <w:rPr>
                <w:sz w:val="20"/>
                <w:szCs w:val="20"/>
              </w:rPr>
              <w:t>.53</w:t>
            </w:r>
            <w:r w:rsidR="00AB3073">
              <w:rPr>
                <w:sz w:val="20"/>
                <w:szCs w:val="20"/>
              </w:rPr>
              <w:t>**</w:t>
            </w:r>
          </w:p>
        </w:tc>
        <w:tc>
          <w:tcPr>
            <w:tcW w:w="775" w:type="dxa"/>
            <w:shd w:val="clear" w:color="auto" w:fill="auto"/>
            <w:vAlign w:val="center"/>
          </w:tcPr>
          <w:p w14:paraId="2AFFFE82" w14:textId="423A715F" w:rsidR="00950F64" w:rsidRPr="00053BD2" w:rsidRDefault="007A179D" w:rsidP="007E0FE9">
            <w:pPr>
              <w:jc w:val="center"/>
              <w:rPr>
                <w:sz w:val="20"/>
                <w:szCs w:val="20"/>
              </w:rPr>
            </w:pPr>
            <w:r>
              <w:rPr>
                <w:sz w:val="20"/>
                <w:szCs w:val="20"/>
              </w:rPr>
              <w:t>.30**</w:t>
            </w:r>
          </w:p>
        </w:tc>
        <w:tc>
          <w:tcPr>
            <w:tcW w:w="769" w:type="dxa"/>
            <w:shd w:val="clear" w:color="auto" w:fill="auto"/>
            <w:vAlign w:val="center"/>
          </w:tcPr>
          <w:p w14:paraId="39D391B3" w14:textId="498E7FB9" w:rsidR="00950F64" w:rsidRPr="00053BD2" w:rsidRDefault="008143E3" w:rsidP="007E0FE9">
            <w:pPr>
              <w:jc w:val="center"/>
              <w:rPr>
                <w:sz w:val="20"/>
                <w:szCs w:val="20"/>
              </w:rPr>
            </w:pPr>
            <w:r>
              <w:rPr>
                <w:sz w:val="20"/>
                <w:szCs w:val="20"/>
              </w:rPr>
              <w:t>.59</w:t>
            </w:r>
            <w:r w:rsidR="00FC4953">
              <w:rPr>
                <w:sz w:val="20"/>
                <w:szCs w:val="20"/>
              </w:rPr>
              <w:t>**</w:t>
            </w:r>
          </w:p>
        </w:tc>
        <w:tc>
          <w:tcPr>
            <w:tcW w:w="228" w:type="dxa"/>
            <w:shd w:val="clear" w:color="auto" w:fill="auto"/>
            <w:vAlign w:val="center"/>
          </w:tcPr>
          <w:p w14:paraId="04895D04" w14:textId="77777777" w:rsidR="00950F64" w:rsidRPr="00053BD2" w:rsidRDefault="00950F64" w:rsidP="007E0FE9">
            <w:pPr>
              <w:jc w:val="center"/>
              <w:rPr>
                <w:sz w:val="20"/>
                <w:szCs w:val="20"/>
              </w:rPr>
            </w:pPr>
          </w:p>
        </w:tc>
        <w:tc>
          <w:tcPr>
            <w:tcW w:w="786" w:type="dxa"/>
            <w:shd w:val="clear" w:color="auto" w:fill="auto"/>
            <w:vAlign w:val="center"/>
          </w:tcPr>
          <w:p w14:paraId="24C225E4" w14:textId="13BD480C" w:rsidR="00950F64" w:rsidRPr="00053BD2" w:rsidRDefault="00D81818" w:rsidP="007E0FE9">
            <w:pPr>
              <w:jc w:val="center"/>
              <w:rPr>
                <w:sz w:val="20"/>
                <w:szCs w:val="20"/>
              </w:rPr>
            </w:pPr>
            <w:r>
              <w:rPr>
                <w:sz w:val="20"/>
                <w:szCs w:val="20"/>
              </w:rPr>
              <w:t>.50**</w:t>
            </w:r>
          </w:p>
        </w:tc>
        <w:tc>
          <w:tcPr>
            <w:tcW w:w="666" w:type="dxa"/>
            <w:shd w:val="clear" w:color="auto" w:fill="auto"/>
            <w:vAlign w:val="center"/>
          </w:tcPr>
          <w:p w14:paraId="47346196" w14:textId="5CA9A73E" w:rsidR="00950F64" w:rsidRPr="00053BD2" w:rsidRDefault="00D81818" w:rsidP="007E0FE9">
            <w:pPr>
              <w:jc w:val="center"/>
              <w:rPr>
                <w:sz w:val="20"/>
                <w:szCs w:val="20"/>
              </w:rPr>
            </w:pPr>
            <w:r>
              <w:rPr>
                <w:sz w:val="20"/>
                <w:szCs w:val="20"/>
              </w:rPr>
              <w:t>.27**</w:t>
            </w:r>
          </w:p>
        </w:tc>
        <w:tc>
          <w:tcPr>
            <w:tcW w:w="839" w:type="dxa"/>
            <w:shd w:val="clear" w:color="auto" w:fill="auto"/>
            <w:vAlign w:val="center"/>
          </w:tcPr>
          <w:p w14:paraId="3F909574" w14:textId="01079368" w:rsidR="00950F64" w:rsidRPr="00053BD2" w:rsidRDefault="00D81818" w:rsidP="007E0FE9">
            <w:pPr>
              <w:jc w:val="center"/>
              <w:rPr>
                <w:sz w:val="20"/>
                <w:szCs w:val="20"/>
              </w:rPr>
            </w:pPr>
            <w:r>
              <w:rPr>
                <w:sz w:val="20"/>
                <w:szCs w:val="20"/>
              </w:rPr>
              <w:t>.57**</w:t>
            </w:r>
          </w:p>
        </w:tc>
        <w:tc>
          <w:tcPr>
            <w:tcW w:w="228" w:type="dxa"/>
            <w:shd w:val="clear" w:color="auto" w:fill="auto"/>
            <w:vAlign w:val="center"/>
          </w:tcPr>
          <w:p w14:paraId="28C25471" w14:textId="77777777" w:rsidR="00950F64" w:rsidRPr="00053BD2" w:rsidRDefault="00950F64" w:rsidP="007E0FE9">
            <w:pPr>
              <w:jc w:val="center"/>
              <w:rPr>
                <w:sz w:val="20"/>
                <w:szCs w:val="20"/>
              </w:rPr>
            </w:pPr>
          </w:p>
        </w:tc>
        <w:tc>
          <w:tcPr>
            <w:tcW w:w="786" w:type="dxa"/>
            <w:shd w:val="clear" w:color="auto" w:fill="auto"/>
            <w:vAlign w:val="center"/>
          </w:tcPr>
          <w:p w14:paraId="422E2999" w14:textId="17BE325D" w:rsidR="00950F64" w:rsidRPr="00053BD2" w:rsidRDefault="00542A7A" w:rsidP="007E0FE9">
            <w:pPr>
              <w:jc w:val="center"/>
              <w:rPr>
                <w:sz w:val="20"/>
                <w:szCs w:val="20"/>
              </w:rPr>
            </w:pPr>
            <w:r>
              <w:rPr>
                <w:sz w:val="20"/>
                <w:szCs w:val="20"/>
              </w:rPr>
              <w:t>.33**</w:t>
            </w:r>
          </w:p>
        </w:tc>
        <w:tc>
          <w:tcPr>
            <w:tcW w:w="666" w:type="dxa"/>
            <w:shd w:val="clear" w:color="auto" w:fill="auto"/>
            <w:vAlign w:val="center"/>
          </w:tcPr>
          <w:p w14:paraId="7FFEB569" w14:textId="5D0F8A7E" w:rsidR="00950F64" w:rsidRPr="00053BD2" w:rsidRDefault="00F533A0" w:rsidP="007E0FE9">
            <w:pPr>
              <w:jc w:val="center"/>
              <w:rPr>
                <w:sz w:val="20"/>
                <w:szCs w:val="20"/>
              </w:rPr>
            </w:pPr>
            <w:r>
              <w:rPr>
                <w:sz w:val="20"/>
                <w:szCs w:val="20"/>
              </w:rPr>
              <w:t>.21*</w:t>
            </w:r>
          </w:p>
        </w:tc>
        <w:tc>
          <w:tcPr>
            <w:tcW w:w="839" w:type="dxa"/>
            <w:shd w:val="clear" w:color="auto" w:fill="auto"/>
            <w:vAlign w:val="center"/>
          </w:tcPr>
          <w:p w14:paraId="69826D63" w14:textId="02E7E432" w:rsidR="00950F64" w:rsidRPr="00053BD2" w:rsidRDefault="00542A7A" w:rsidP="007E0FE9">
            <w:pPr>
              <w:jc w:val="center"/>
              <w:rPr>
                <w:sz w:val="20"/>
                <w:szCs w:val="20"/>
              </w:rPr>
            </w:pPr>
            <w:r>
              <w:rPr>
                <w:sz w:val="20"/>
                <w:szCs w:val="20"/>
              </w:rPr>
              <w:t>.36**</w:t>
            </w:r>
          </w:p>
        </w:tc>
      </w:tr>
      <w:tr w:rsidR="00950F64" w:rsidRPr="00053BD2" w14:paraId="1138D728" w14:textId="77777777" w:rsidTr="007E0FE9">
        <w:tc>
          <w:tcPr>
            <w:tcW w:w="2075" w:type="dxa"/>
            <w:shd w:val="clear" w:color="auto" w:fill="auto"/>
            <w:vAlign w:val="center"/>
          </w:tcPr>
          <w:p w14:paraId="05AA51C9" w14:textId="77777777" w:rsidR="00950F64" w:rsidRPr="00053BD2" w:rsidRDefault="00950F64" w:rsidP="00B027C2">
            <w:pPr>
              <w:rPr>
                <w:sz w:val="20"/>
                <w:szCs w:val="20"/>
              </w:rPr>
            </w:pPr>
            <w:r w:rsidRPr="00053BD2">
              <w:rPr>
                <w:sz w:val="20"/>
                <w:szCs w:val="20"/>
              </w:rPr>
              <w:t>Depression</w:t>
            </w:r>
          </w:p>
        </w:tc>
        <w:tc>
          <w:tcPr>
            <w:tcW w:w="786" w:type="dxa"/>
            <w:shd w:val="clear" w:color="auto" w:fill="auto"/>
            <w:vAlign w:val="center"/>
          </w:tcPr>
          <w:p w14:paraId="72104EEE" w14:textId="6707533E" w:rsidR="00950F64" w:rsidRPr="00053BD2" w:rsidRDefault="00AB3073" w:rsidP="007E0FE9">
            <w:pPr>
              <w:jc w:val="center"/>
              <w:rPr>
                <w:sz w:val="20"/>
                <w:szCs w:val="20"/>
              </w:rPr>
            </w:pPr>
            <w:r>
              <w:rPr>
                <w:sz w:val="20"/>
                <w:szCs w:val="20"/>
              </w:rPr>
              <w:t>.43**</w:t>
            </w:r>
          </w:p>
        </w:tc>
        <w:tc>
          <w:tcPr>
            <w:tcW w:w="775" w:type="dxa"/>
            <w:shd w:val="clear" w:color="auto" w:fill="auto"/>
            <w:vAlign w:val="center"/>
          </w:tcPr>
          <w:p w14:paraId="76B0E22A" w14:textId="3848ECC7" w:rsidR="00950F64" w:rsidRPr="00053BD2" w:rsidRDefault="007A179D" w:rsidP="007E0FE9">
            <w:pPr>
              <w:jc w:val="center"/>
              <w:rPr>
                <w:sz w:val="20"/>
                <w:szCs w:val="20"/>
              </w:rPr>
            </w:pPr>
            <w:r>
              <w:rPr>
                <w:sz w:val="20"/>
                <w:szCs w:val="20"/>
              </w:rPr>
              <w:t>.20*</w:t>
            </w:r>
          </w:p>
        </w:tc>
        <w:tc>
          <w:tcPr>
            <w:tcW w:w="769" w:type="dxa"/>
            <w:shd w:val="clear" w:color="auto" w:fill="auto"/>
            <w:vAlign w:val="center"/>
          </w:tcPr>
          <w:p w14:paraId="7AE16010" w14:textId="235BB84C" w:rsidR="00950F64" w:rsidRPr="00053BD2" w:rsidRDefault="00FC4953" w:rsidP="007E0FE9">
            <w:pPr>
              <w:jc w:val="center"/>
              <w:rPr>
                <w:sz w:val="20"/>
                <w:szCs w:val="20"/>
              </w:rPr>
            </w:pPr>
            <w:r>
              <w:rPr>
                <w:sz w:val="20"/>
                <w:szCs w:val="20"/>
              </w:rPr>
              <w:t>.52**</w:t>
            </w:r>
          </w:p>
        </w:tc>
        <w:tc>
          <w:tcPr>
            <w:tcW w:w="228" w:type="dxa"/>
            <w:shd w:val="clear" w:color="auto" w:fill="auto"/>
            <w:vAlign w:val="center"/>
          </w:tcPr>
          <w:p w14:paraId="332F3AED" w14:textId="77777777" w:rsidR="00950F64" w:rsidRPr="00053BD2" w:rsidRDefault="00950F64" w:rsidP="007E0FE9">
            <w:pPr>
              <w:jc w:val="center"/>
              <w:rPr>
                <w:sz w:val="20"/>
                <w:szCs w:val="20"/>
              </w:rPr>
            </w:pPr>
          </w:p>
        </w:tc>
        <w:tc>
          <w:tcPr>
            <w:tcW w:w="786" w:type="dxa"/>
            <w:shd w:val="clear" w:color="auto" w:fill="auto"/>
            <w:vAlign w:val="center"/>
          </w:tcPr>
          <w:p w14:paraId="35F46C57" w14:textId="784ACEDF" w:rsidR="00950F64" w:rsidRPr="00053BD2" w:rsidRDefault="00721103" w:rsidP="007E0FE9">
            <w:pPr>
              <w:jc w:val="center"/>
              <w:rPr>
                <w:sz w:val="20"/>
                <w:szCs w:val="20"/>
              </w:rPr>
            </w:pPr>
            <w:r>
              <w:rPr>
                <w:sz w:val="20"/>
                <w:szCs w:val="20"/>
              </w:rPr>
              <w:t>.42**</w:t>
            </w:r>
          </w:p>
        </w:tc>
        <w:tc>
          <w:tcPr>
            <w:tcW w:w="666" w:type="dxa"/>
            <w:shd w:val="clear" w:color="auto" w:fill="auto"/>
            <w:vAlign w:val="center"/>
          </w:tcPr>
          <w:p w14:paraId="7CED2210" w14:textId="72E68B8E" w:rsidR="00950F64" w:rsidRPr="00E618CE" w:rsidRDefault="00721103" w:rsidP="007E0FE9">
            <w:pPr>
              <w:jc w:val="center"/>
              <w:rPr>
                <w:sz w:val="20"/>
                <w:szCs w:val="20"/>
              </w:rPr>
            </w:pPr>
            <w:r w:rsidRPr="00E618CE">
              <w:rPr>
                <w:sz w:val="20"/>
                <w:szCs w:val="20"/>
              </w:rPr>
              <w:t>.20</w:t>
            </w:r>
            <w:r w:rsidR="005C5C1F" w:rsidRPr="00E618CE">
              <w:rPr>
                <w:sz w:val="20"/>
                <w:szCs w:val="20"/>
                <w:vertAlign w:val="superscript"/>
              </w:rPr>
              <w:t>a</w:t>
            </w:r>
          </w:p>
        </w:tc>
        <w:tc>
          <w:tcPr>
            <w:tcW w:w="839" w:type="dxa"/>
            <w:shd w:val="clear" w:color="auto" w:fill="auto"/>
            <w:vAlign w:val="center"/>
          </w:tcPr>
          <w:p w14:paraId="3040C590" w14:textId="0861269B" w:rsidR="00950F64" w:rsidRPr="00E618CE" w:rsidRDefault="00721103" w:rsidP="007E0FE9">
            <w:pPr>
              <w:jc w:val="center"/>
              <w:rPr>
                <w:sz w:val="20"/>
                <w:szCs w:val="20"/>
              </w:rPr>
            </w:pPr>
            <w:r w:rsidRPr="00E618CE">
              <w:rPr>
                <w:sz w:val="20"/>
                <w:szCs w:val="20"/>
              </w:rPr>
              <w:t>.50**</w:t>
            </w:r>
          </w:p>
        </w:tc>
        <w:tc>
          <w:tcPr>
            <w:tcW w:w="228" w:type="dxa"/>
            <w:shd w:val="clear" w:color="auto" w:fill="auto"/>
            <w:vAlign w:val="center"/>
          </w:tcPr>
          <w:p w14:paraId="3FE7E1A1" w14:textId="77777777" w:rsidR="00950F64" w:rsidRPr="00E618CE" w:rsidRDefault="00950F64" w:rsidP="007E0FE9">
            <w:pPr>
              <w:jc w:val="center"/>
              <w:rPr>
                <w:sz w:val="20"/>
                <w:szCs w:val="20"/>
              </w:rPr>
            </w:pPr>
          </w:p>
        </w:tc>
        <w:tc>
          <w:tcPr>
            <w:tcW w:w="786" w:type="dxa"/>
            <w:shd w:val="clear" w:color="auto" w:fill="auto"/>
            <w:vAlign w:val="center"/>
          </w:tcPr>
          <w:p w14:paraId="3DC7BFCB" w14:textId="1773D769" w:rsidR="00950F64" w:rsidRPr="00E618CE" w:rsidRDefault="00D57886" w:rsidP="007E0FE9">
            <w:pPr>
              <w:jc w:val="center"/>
              <w:rPr>
                <w:sz w:val="20"/>
                <w:szCs w:val="20"/>
              </w:rPr>
            </w:pPr>
            <w:r w:rsidRPr="00E618CE">
              <w:rPr>
                <w:sz w:val="20"/>
                <w:szCs w:val="20"/>
              </w:rPr>
              <w:t>.33**</w:t>
            </w:r>
          </w:p>
        </w:tc>
        <w:tc>
          <w:tcPr>
            <w:tcW w:w="666" w:type="dxa"/>
            <w:shd w:val="clear" w:color="auto" w:fill="auto"/>
            <w:vAlign w:val="center"/>
          </w:tcPr>
          <w:p w14:paraId="3315B493" w14:textId="15862EB1" w:rsidR="00950F64" w:rsidRPr="00E618CE" w:rsidRDefault="004D03EE" w:rsidP="007E0FE9">
            <w:pPr>
              <w:jc w:val="center"/>
              <w:rPr>
                <w:sz w:val="20"/>
                <w:szCs w:val="20"/>
              </w:rPr>
            </w:pPr>
            <w:r w:rsidRPr="00E618CE">
              <w:rPr>
                <w:sz w:val="20"/>
                <w:szCs w:val="20"/>
              </w:rPr>
              <w:t>.</w:t>
            </w:r>
            <w:r w:rsidR="00542A7A" w:rsidRPr="00E618CE">
              <w:rPr>
                <w:sz w:val="20"/>
                <w:szCs w:val="20"/>
              </w:rPr>
              <w:t>23**</w:t>
            </w:r>
          </w:p>
        </w:tc>
        <w:tc>
          <w:tcPr>
            <w:tcW w:w="839" w:type="dxa"/>
            <w:shd w:val="clear" w:color="auto" w:fill="auto"/>
            <w:vAlign w:val="center"/>
          </w:tcPr>
          <w:p w14:paraId="62BD3F78" w14:textId="691D7854" w:rsidR="00950F64" w:rsidRPr="00053BD2" w:rsidRDefault="00542A7A" w:rsidP="007E0FE9">
            <w:pPr>
              <w:jc w:val="center"/>
              <w:rPr>
                <w:sz w:val="20"/>
                <w:szCs w:val="20"/>
              </w:rPr>
            </w:pPr>
            <w:r>
              <w:rPr>
                <w:sz w:val="20"/>
                <w:szCs w:val="20"/>
              </w:rPr>
              <w:t>.35</w:t>
            </w:r>
            <w:r w:rsidR="00D57886">
              <w:rPr>
                <w:sz w:val="20"/>
                <w:szCs w:val="20"/>
              </w:rPr>
              <w:t>**</w:t>
            </w:r>
          </w:p>
        </w:tc>
      </w:tr>
      <w:tr w:rsidR="00950F64" w:rsidRPr="00053BD2" w14:paraId="707F4B3F" w14:textId="77777777" w:rsidTr="007E0FE9">
        <w:tc>
          <w:tcPr>
            <w:tcW w:w="2075" w:type="dxa"/>
            <w:shd w:val="clear" w:color="auto" w:fill="auto"/>
            <w:vAlign w:val="center"/>
          </w:tcPr>
          <w:p w14:paraId="4CA2D6F9" w14:textId="77777777" w:rsidR="00950F64" w:rsidRPr="00053BD2" w:rsidRDefault="00950F64" w:rsidP="00B027C2">
            <w:pPr>
              <w:rPr>
                <w:sz w:val="20"/>
                <w:szCs w:val="20"/>
              </w:rPr>
            </w:pPr>
            <w:r w:rsidRPr="00053BD2">
              <w:rPr>
                <w:sz w:val="20"/>
                <w:szCs w:val="20"/>
              </w:rPr>
              <w:t>Anxiety</w:t>
            </w:r>
          </w:p>
        </w:tc>
        <w:tc>
          <w:tcPr>
            <w:tcW w:w="786" w:type="dxa"/>
            <w:shd w:val="clear" w:color="auto" w:fill="auto"/>
            <w:vAlign w:val="center"/>
          </w:tcPr>
          <w:p w14:paraId="1E1DE633" w14:textId="2626A31C" w:rsidR="00950F64" w:rsidRPr="00053BD2" w:rsidRDefault="00B52D0C" w:rsidP="007E0FE9">
            <w:pPr>
              <w:jc w:val="center"/>
              <w:rPr>
                <w:sz w:val="20"/>
                <w:szCs w:val="20"/>
              </w:rPr>
            </w:pPr>
            <w:r>
              <w:rPr>
                <w:sz w:val="20"/>
                <w:szCs w:val="20"/>
              </w:rPr>
              <w:t>.48**</w:t>
            </w:r>
          </w:p>
        </w:tc>
        <w:tc>
          <w:tcPr>
            <w:tcW w:w="775" w:type="dxa"/>
            <w:shd w:val="clear" w:color="auto" w:fill="auto"/>
            <w:vAlign w:val="center"/>
          </w:tcPr>
          <w:p w14:paraId="7C1500E6" w14:textId="4E9680D2" w:rsidR="00950F64" w:rsidRPr="00053BD2" w:rsidRDefault="000D3150" w:rsidP="007E0FE9">
            <w:pPr>
              <w:jc w:val="center"/>
              <w:rPr>
                <w:sz w:val="20"/>
                <w:szCs w:val="20"/>
              </w:rPr>
            </w:pPr>
            <w:r>
              <w:rPr>
                <w:sz w:val="20"/>
                <w:szCs w:val="20"/>
              </w:rPr>
              <w:t>.26**</w:t>
            </w:r>
          </w:p>
        </w:tc>
        <w:tc>
          <w:tcPr>
            <w:tcW w:w="769" w:type="dxa"/>
            <w:shd w:val="clear" w:color="auto" w:fill="auto"/>
            <w:vAlign w:val="center"/>
          </w:tcPr>
          <w:p w14:paraId="4CD0779B" w14:textId="088FFFAC" w:rsidR="00950F64" w:rsidRPr="00053BD2" w:rsidRDefault="00FC4953" w:rsidP="007E0FE9">
            <w:pPr>
              <w:jc w:val="center"/>
              <w:rPr>
                <w:sz w:val="20"/>
                <w:szCs w:val="20"/>
              </w:rPr>
            </w:pPr>
            <w:r>
              <w:rPr>
                <w:sz w:val="20"/>
                <w:szCs w:val="20"/>
              </w:rPr>
              <w:t>.54**</w:t>
            </w:r>
          </w:p>
        </w:tc>
        <w:tc>
          <w:tcPr>
            <w:tcW w:w="228" w:type="dxa"/>
            <w:shd w:val="clear" w:color="auto" w:fill="auto"/>
            <w:vAlign w:val="center"/>
          </w:tcPr>
          <w:p w14:paraId="74895F7B" w14:textId="77777777" w:rsidR="00950F64" w:rsidRPr="00053BD2" w:rsidRDefault="00950F64" w:rsidP="007E0FE9">
            <w:pPr>
              <w:jc w:val="center"/>
              <w:rPr>
                <w:sz w:val="20"/>
                <w:szCs w:val="20"/>
              </w:rPr>
            </w:pPr>
          </w:p>
        </w:tc>
        <w:tc>
          <w:tcPr>
            <w:tcW w:w="786" w:type="dxa"/>
            <w:shd w:val="clear" w:color="auto" w:fill="auto"/>
            <w:vAlign w:val="center"/>
          </w:tcPr>
          <w:p w14:paraId="5520DA48" w14:textId="41ACE6EF" w:rsidR="00950F64" w:rsidRPr="00053BD2" w:rsidRDefault="003629B9" w:rsidP="007E0FE9">
            <w:pPr>
              <w:jc w:val="center"/>
              <w:rPr>
                <w:sz w:val="20"/>
                <w:szCs w:val="20"/>
              </w:rPr>
            </w:pPr>
            <w:r>
              <w:rPr>
                <w:sz w:val="20"/>
                <w:szCs w:val="20"/>
              </w:rPr>
              <w:t>.51**</w:t>
            </w:r>
          </w:p>
        </w:tc>
        <w:tc>
          <w:tcPr>
            <w:tcW w:w="666" w:type="dxa"/>
            <w:shd w:val="clear" w:color="auto" w:fill="auto"/>
            <w:vAlign w:val="center"/>
          </w:tcPr>
          <w:p w14:paraId="6862EBDF" w14:textId="4F5F7633" w:rsidR="00950F64" w:rsidRPr="00E618CE" w:rsidRDefault="003629B9" w:rsidP="007E0FE9">
            <w:pPr>
              <w:jc w:val="center"/>
              <w:rPr>
                <w:sz w:val="20"/>
                <w:szCs w:val="20"/>
              </w:rPr>
            </w:pPr>
            <w:r w:rsidRPr="00E618CE">
              <w:rPr>
                <w:sz w:val="20"/>
                <w:szCs w:val="20"/>
              </w:rPr>
              <w:t>.29**</w:t>
            </w:r>
          </w:p>
        </w:tc>
        <w:tc>
          <w:tcPr>
            <w:tcW w:w="839" w:type="dxa"/>
            <w:shd w:val="clear" w:color="auto" w:fill="auto"/>
            <w:vAlign w:val="center"/>
          </w:tcPr>
          <w:p w14:paraId="35FFC38C" w14:textId="0D52AF12" w:rsidR="00950F64" w:rsidRPr="00E618CE" w:rsidRDefault="003629B9" w:rsidP="007E0FE9">
            <w:pPr>
              <w:jc w:val="center"/>
              <w:rPr>
                <w:sz w:val="20"/>
                <w:szCs w:val="20"/>
              </w:rPr>
            </w:pPr>
            <w:r w:rsidRPr="00E618CE">
              <w:rPr>
                <w:sz w:val="20"/>
                <w:szCs w:val="20"/>
              </w:rPr>
              <w:t>.56**</w:t>
            </w:r>
          </w:p>
        </w:tc>
        <w:tc>
          <w:tcPr>
            <w:tcW w:w="228" w:type="dxa"/>
            <w:shd w:val="clear" w:color="auto" w:fill="auto"/>
            <w:vAlign w:val="center"/>
          </w:tcPr>
          <w:p w14:paraId="2FFD9D2A" w14:textId="77777777" w:rsidR="00950F64" w:rsidRPr="00E618CE" w:rsidRDefault="00950F64" w:rsidP="007E0FE9">
            <w:pPr>
              <w:jc w:val="center"/>
              <w:rPr>
                <w:sz w:val="20"/>
                <w:szCs w:val="20"/>
              </w:rPr>
            </w:pPr>
          </w:p>
        </w:tc>
        <w:tc>
          <w:tcPr>
            <w:tcW w:w="786" w:type="dxa"/>
            <w:shd w:val="clear" w:color="auto" w:fill="auto"/>
            <w:vAlign w:val="center"/>
          </w:tcPr>
          <w:p w14:paraId="2F831CCA" w14:textId="5B33E363" w:rsidR="00950F64" w:rsidRPr="00E618CE" w:rsidRDefault="00594D04" w:rsidP="007E0FE9">
            <w:pPr>
              <w:jc w:val="center"/>
              <w:rPr>
                <w:sz w:val="20"/>
                <w:szCs w:val="20"/>
              </w:rPr>
            </w:pPr>
            <w:r w:rsidRPr="00E618CE">
              <w:rPr>
                <w:sz w:val="20"/>
                <w:szCs w:val="20"/>
              </w:rPr>
              <w:t>.27**</w:t>
            </w:r>
          </w:p>
        </w:tc>
        <w:tc>
          <w:tcPr>
            <w:tcW w:w="666" w:type="dxa"/>
            <w:shd w:val="clear" w:color="auto" w:fill="auto"/>
            <w:vAlign w:val="center"/>
          </w:tcPr>
          <w:p w14:paraId="53F444A1" w14:textId="1184C0A6" w:rsidR="00950F64" w:rsidRPr="00E618CE" w:rsidRDefault="00D57886" w:rsidP="007E0FE9">
            <w:pPr>
              <w:jc w:val="center"/>
              <w:rPr>
                <w:sz w:val="20"/>
                <w:szCs w:val="20"/>
              </w:rPr>
            </w:pPr>
            <w:r w:rsidRPr="00E618CE">
              <w:rPr>
                <w:sz w:val="20"/>
                <w:szCs w:val="20"/>
              </w:rPr>
              <w:t>.15</w:t>
            </w:r>
            <w:r w:rsidR="005C5C1F" w:rsidRPr="00E618CE">
              <w:rPr>
                <w:sz w:val="20"/>
                <w:szCs w:val="20"/>
                <w:vertAlign w:val="superscript"/>
              </w:rPr>
              <w:t>b</w:t>
            </w:r>
          </w:p>
        </w:tc>
        <w:tc>
          <w:tcPr>
            <w:tcW w:w="839" w:type="dxa"/>
            <w:shd w:val="clear" w:color="auto" w:fill="auto"/>
            <w:vAlign w:val="center"/>
          </w:tcPr>
          <w:p w14:paraId="5CF9A6C2" w14:textId="1C83E6AE" w:rsidR="00950F64" w:rsidRPr="00053BD2" w:rsidRDefault="00D57886" w:rsidP="007E0FE9">
            <w:pPr>
              <w:jc w:val="center"/>
              <w:rPr>
                <w:sz w:val="20"/>
                <w:szCs w:val="20"/>
              </w:rPr>
            </w:pPr>
            <w:r>
              <w:rPr>
                <w:sz w:val="20"/>
                <w:szCs w:val="20"/>
              </w:rPr>
              <w:t>.30**</w:t>
            </w:r>
          </w:p>
        </w:tc>
      </w:tr>
      <w:tr w:rsidR="00950F64" w:rsidRPr="00053BD2" w14:paraId="3EC7EAE7" w14:textId="77777777" w:rsidTr="007E0FE9">
        <w:tc>
          <w:tcPr>
            <w:tcW w:w="2075" w:type="dxa"/>
            <w:shd w:val="clear" w:color="auto" w:fill="auto"/>
            <w:vAlign w:val="center"/>
          </w:tcPr>
          <w:p w14:paraId="5E76A9DE" w14:textId="77777777" w:rsidR="00950F64" w:rsidRPr="00053BD2" w:rsidRDefault="00950F64" w:rsidP="00B027C2">
            <w:pPr>
              <w:rPr>
                <w:sz w:val="20"/>
                <w:szCs w:val="20"/>
              </w:rPr>
            </w:pPr>
            <w:r w:rsidRPr="00053BD2">
              <w:rPr>
                <w:sz w:val="20"/>
                <w:szCs w:val="20"/>
              </w:rPr>
              <w:t>Stress</w:t>
            </w:r>
          </w:p>
        </w:tc>
        <w:tc>
          <w:tcPr>
            <w:tcW w:w="786" w:type="dxa"/>
            <w:shd w:val="clear" w:color="auto" w:fill="auto"/>
            <w:vAlign w:val="center"/>
          </w:tcPr>
          <w:p w14:paraId="095F9EC4" w14:textId="62FA1F7C" w:rsidR="00950F64" w:rsidRPr="00053BD2" w:rsidRDefault="00B52D0C" w:rsidP="007E0FE9">
            <w:pPr>
              <w:jc w:val="center"/>
              <w:rPr>
                <w:sz w:val="20"/>
                <w:szCs w:val="20"/>
              </w:rPr>
            </w:pPr>
            <w:r>
              <w:rPr>
                <w:sz w:val="20"/>
                <w:szCs w:val="20"/>
              </w:rPr>
              <w:t>.51**</w:t>
            </w:r>
          </w:p>
        </w:tc>
        <w:tc>
          <w:tcPr>
            <w:tcW w:w="775" w:type="dxa"/>
            <w:shd w:val="clear" w:color="auto" w:fill="auto"/>
            <w:vAlign w:val="center"/>
          </w:tcPr>
          <w:p w14:paraId="345A7502" w14:textId="3712176A" w:rsidR="00950F64" w:rsidRPr="00053BD2" w:rsidRDefault="000D3150" w:rsidP="007E0FE9">
            <w:pPr>
              <w:jc w:val="center"/>
              <w:rPr>
                <w:sz w:val="20"/>
                <w:szCs w:val="20"/>
              </w:rPr>
            </w:pPr>
            <w:r>
              <w:rPr>
                <w:sz w:val="20"/>
                <w:szCs w:val="20"/>
              </w:rPr>
              <w:t>.35**</w:t>
            </w:r>
          </w:p>
        </w:tc>
        <w:tc>
          <w:tcPr>
            <w:tcW w:w="769" w:type="dxa"/>
            <w:shd w:val="clear" w:color="auto" w:fill="auto"/>
            <w:vAlign w:val="center"/>
          </w:tcPr>
          <w:p w14:paraId="0D47A339" w14:textId="7AB132D3" w:rsidR="00950F64" w:rsidRPr="00053BD2" w:rsidRDefault="00FC4953" w:rsidP="007E0FE9">
            <w:pPr>
              <w:jc w:val="center"/>
              <w:rPr>
                <w:sz w:val="20"/>
                <w:szCs w:val="20"/>
              </w:rPr>
            </w:pPr>
            <w:r>
              <w:rPr>
                <w:sz w:val="20"/>
                <w:szCs w:val="20"/>
              </w:rPr>
              <w:t>.51**</w:t>
            </w:r>
          </w:p>
        </w:tc>
        <w:tc>
          <w:tcPr>
            <w:tcW w:w="228" w:type="dxa"/>
            <w:shd w:val="clear" w:color="auto" w:fill="auto"/>
            <w:vAlign w:val="center"/>
          </w:tcPr>
          <w:p w14:paraId="104D7EDA" w14:textId="77777777" w:rsidR="00950F64" w:rsidRPr="00053BD2" w:rsidRDefault="00950F64" w:rsidP="007E0FE9">
            <w:pPr>
              <w:jc w:val="center"/>
              <w:rPr>
                <w:sz w:val="20"/>
                <w:szCs w:val="20"/>
              </w:rPr>
            </w:pPr>
          </w:p>
        </w:tc>
        <w:tc>
          <w:tcPr>
            <w:tcW w:w="786" w:type="dxa"/>
            <w:shd w:val="clear" w:color="auto" w:fill="auto"/>
            <w:vAlign w:val="center"/>
          </w:tcPr>
          <w:p w14:paraId="08082D11" w14:textId="547C66FF" w:rsidR="00950F64" w:rsidRPr="00053BD2" w:rsidRDefault="002E0956" w:rsidP="007E0FE9">
            <w:pPr>
              <w:jc w:val="center"/>
              <w:rPr>
                <w:sz w:val="20"/>
                <w:szCs w:val="20"/>
              </w:rPr>
            </w:pPr>
            <w:r>
              <w:rPr>
                <w:sz w:val="20"/>
                <w:szCs w:val="20"/>
              </w:rPr>
              <w:t>.47**</w:t>
            </w:r>
          </w:p>
        </w:tc>
        <w:tc>
          <w:tcPr>
            <w:tcW w:w="666" w:type="dxa"/>
            <w:shd w:val="clear" w:color="auto" w:fill="auto"/>
            <w:vAlign w:val="center"/>
          </w:tcPr>
          <w:p w14:paraId="3CB59DAC" w14:textId="7D720A9E" w:rsidR="00950F64" w:rsidRPr="00E618CE" w:rsidRDefault="002E0956" w:rsidP="007E0FE9">
            <w:pPr>
              <w:jc w:val="center"/>
              <w:rPr>
                <w:sz w:val="20"/>
                <w:szCs w:val="20"/>
              </w:rPr>
            </w:pPr>
            <w:r w:rsidRPr="00E618CE">
              <w:rPr>
                <w:sz w:val="20"/>
                <w:szCs w:val="20"/>
              </w:rPr>
              <w:t>.27**</w:t>
            </w:r>
          </w:p>
        </w:tc>
        <w:tc>
          <w:tcPr>
            <w:tcW w:w="839" w:type="dxa"/>
            <w:shd w:val="clear" w:color="auto" w:fill="auto"/>
            <w:vAlign w:val="center"/>
          </w:tcPr>
          <w:p w14:paraId="1E6EA7AD" w14:textId="46A923B4" w:rsidR="00950F64" w:rsidRPr="00E618CE" w:rsidRDefault="002E0956" w:rsidP="007E0FE9">
            <w:pPr>
              <w:jc w:val="center"/>
              <w:rPr>
                <w:sz w:val="20"/>
                <w:szCs w:val="20"/>
              </w:rPr>
            </w:pPr>
            <w:r w:rsidRPr="00E618CE">
              <w:rPr>
                <w:sz w:val="20"/>
                <w:szCs w:val="20"/>
              </w:rPr>
              <w:t>.52**</w:t>
            </w:r>
          </w:p>
        </w:tc>
        <w:tc>
          <w:tcPr>
            <w:tcW w:w="228" w:type="dxa"/>
            <w:shd w:val="clear" w:color="auto" w:fill="auto"/>
            <w:vAlign w:val="center"/>
          </w:tcPr>
          <w:p w14:paraId="162369AC" w14:textId="77777777" w:rsidR="00950F64" w:rsidRPr="00E618CE" w:rsidRDefault="00950F64" w:rsidP="007E0FE9">
            <w:pPr>
              <w:jc w:val="center"/>
              <w:rPr>
                <w:sz w:val="20"/>
                <w:szCs w:val="20"/>
              </w:rPr>
            </w:pPr>
          </w:p>
        </w:tc>
        <w:tc>
          <w:tcPr>
            <w:tcW w:w="786" w:type="dxa"/>
            <w:shd w:val="clear" w:color="auto" w:fill="auto"/>
            <w:vAlign w:val="center"/>
          </w:tcPr>
          <w:p w14:paraId="6799AC72" w14:textId="3DB0AEE1" w:rsidR="00950F64" w:rsidRPr="00E618CE" w:rsidRDefault="00284DE0" w:rsidP="007E0FE9">
            <w:pPr>
              <w:jc w:val="center"/>
              <w:rPr>
                <w:sz w:val="20"/>
                <w:szCs w:val="20"/>
              </w:rPr>
            </w:pPr>
            <w:r w:rsidRPr="00E618CE">
              <w:rPr>
                <w:sz w:val="20"/>
                <w:szCs w:val="20"/>
              </w:rPr>
              <w:t>.28**</w:t>
            </w:r>
          </w:p>
        </w:tc>
        <w:tc>
          <w:tcPr>
            <w:tcW w:w="666" w:type="dxa"/>
            <w:shd w:val="clear" w:color="auto" w:fill="auto"/>
            <w:vAlign w:val="center"/>
          </w:tcPr>
          <w:p w14:paraId="0D797DC4" w14:textId="2CDF4FBC" w:rsidR="00950F64" w:rsidRPr="00E618CE" w:rsidRDefault="00594D04" w:rsidP="007E0FE9">
            <w:pPr>
              <w:jc w:val="center"/>
              <w:rPr>
                <w:sz w:val="20"/>
                <w:szCs w:val="20"/>
              </w:rPr>
            </w:pPr>
            <w:r w:rsidRPr="00E618CE">
              <w:rPr>
                <w:sz w:val="20"/>
                <w:szCs w:val="20"/>
              </w:rPr>
              <w:t>.16</w:t>
            </w:r>
            <w:r w:rsidR="005C5C1F" w:rsidRPr="00E618CE">
              <w:rPr>
                <w:sz w:val="20"/>
                <w:szCs w:val="20"/>
                <w:vertAlign w:val="superscript"/>
              </w:rPr>
              <w:t>c</w:t>
            </w:r>
          </w:p>
        </w:tc>
        <w:tc>
          <w:tcPr>
            <w:tcW w:w="839" w:type="dxa"/>
            <w:shd w:val="clear" w:color="auto" w:fill="auto"/>
            <w:vAlign w:val="center"/>
          </w:tcPr>
          <w:p w14:paraId="08DA6E58" w14:textId="0438ECBF" w:rsidR="00950F64" w:rsidRPr="00053BD2" w:rsidRDefault="00594D04" w:rsidP="007E0FE9">
            <w:pPr>
              <w:jc w:val="center"/>
              <w:rPr>
                <w:sz w:val="20"/>
                <w:szCs w:val="20"/>
              </w:rPr>
            </w:pPr>
            <w:r>
              <w:rPr>
                <w:sz w:val="20"/>
                <w:szCs w:val="20"/>
              </w:rPr>
              <w:t>.31**</w:t>
            </w:r>
          </w:p>
        </w:tc>
      </w:tr>
      <w:tr w:rsidR="00B93648" w:rsidRPr="00053BD2" w14:paraId="1894E96C" w14:textId="77777777" w:rsidTr="007E0FE9">
        <w:tc>
          <w:tcPr>
            <w:tcW w:w="2075" w:type="dxa"/>
            <w:shd w:val="clear" w:color="auto" w:fill="auto"/>
            <w:vAlign w:val="center"/>
          </w:tcPr>
          <w:p w14:paraId="031EEC6F" w14:textId="52C6316D" w:rsidR="00B93648" w:rsidRPr="00053BD2" w:rsidRDefault="00B93648" w:rsidP="00B027C2">
            <w:pPr>
              <w:rPr>
                <w:sz w:val="20"/>
                <w:szCs w:val="20"/>
              </w:rPr>
            </w:pPr>
            <w:r w:rsidRPr="00053BD2">
              <w:rPr>
                <w:sz w:val="20"/>
                <w:szCs w:val="20"/>
              </w:rPr>
              <w:t>Subjective Wellbeing</w:t>
            </w:r>
          </w:p>
        </w:tc>
        <w:tc>
          <w:tcPr>
            <w:tcW w:w="786" w:type="dxa"/>
            <w:shd w:val="clear" w:color="auto" w:fill="auto"/>
            <w:vAlign w:val="center"/>
          </w:tcPr>
          <w:p w14:paraId="5460FD45" w14:textId="1862F15A" w:rsidR="00B93648" w:rsidRDefault="00B93648" w:rsidP="007E0FE9">
            <w:pPr>
              <w:jc w:val="center"/>
              <w:rPr>
                <w:sz w:val="20"/>
                <w:szCs w:val="20"/>
              </w:rPr>
            </w:pPr>
            <w:r>
              <w:rPr>
                <w:sz w:val="20"/>
                <w:szCs w:val="20"/>
              </w:rPr>
              <w:t>-.30**</w:t>
            </w:r>
          </w:p>
        </w:tc>
        <w:tc>
          <w:tcPr>
            <w:tcW w:w="775" w:type="dxa"/>
            <w:shd w:val="clear" w:color="auto" w:fill="auto"/>
            <w:vAlign w:val="center"/>
          </w:tcPr>
          <w:p w14:paraId="27E11A95" w14:textId="26D1B980" w:rsidR="00B93648" w:rsidRDefault="00B93648" w:rsidP="007E0FE9">
            <w:pPr>
              <w:jc w:val="center"/>
              <w:rPr>
                <w:sz w:val="20"/>
                <w:szCs w:val="20"/>
              </w:rPr>
            </w:pPr>
            <w:r>
              <w:rPr>
                <w:sz w:val="20"/>
                <w:szCs w:val="20"/>
              </w:rPr>
              <w:t>-.22*</w:t>
            </w:r>
          </w:p>
        </w:tc>
        <w:tc>
          <w:tcPr>
            <w:tcW w:w="769" w:type="dxa"/>
            <w:shd w:val="clear" w:color="auto" w:fill="auto"/>
            <w:vAlign w:val="center"/>
          </w:tcPr>
          <w:p w14:paraId="01C5A0CC" w14:textId="56C638FE" w:rsidR="00B93648" w:rsidRDefault="00B93648" w:rsidP="007E0FE9">
            <w:pPr>
              <w:jc w:val="center"/>
              <w:rPr>
                <w:sz w:val="20"/>
                <w:szCs w:val="20"/>
              </w:rPr>
            </w:pPr>
            <w:r>
              <w:rPr>
                <w:sz w:val="20"/>
                <w:szCs w:val="20"/>
              </w:rPr>
              <w:t>-.27**</w:t>
            </w:r>
          </w:p>
        </w:tc>
        <w:tc>
          <w:tcPr>
            <w:tcW w:w="228" w:type="dxa"/>
            <w:shd w:val="clear" w:color="auto" w:fill="auto"/>
            <w:vAlign w:val="center"/>
          </w:tcPr>
          <w:p w14:paraId="15B65D59" w14:textId="77777777" w:rsidR="00B93648" w:rsidRPr="00053BD2" w:rsidRDefault="00B93648" w:rsidP="007E0FE9">
            <w:pPr>
              <w:jc w:val="center"/>
              <w:rPr>
                <w:sz w:val="20"/>
                <w:szCs w:val="20"/>
              </w:rPr>
            </w:pPr>
          </w:p>
        </w:tc>
        <w:tc>
          <w:tcPr>
            <w:tcW w:w="786" w:type="dxa"/>
            <w:shd w:val="clear" w:color="auto" w:fill="auto"/>
            <w:vAlign w:val="center"/>
          </w:tcPr>
          <w:p w14:paraId="1027CB65" w14:textId="0D854BC8" w:rsidR="00B93648" w:rsidRDefault="00B93648" w:rsidP="007E0FE9">
            <w:pPr>
              <w:jc w:val="center"/>
              <w:rPr>
                <w:sz w:val="20"/>
                <w:szCs w:val="20"/>
              </w:rPr>
            </w:pPr>
            <w:r>
              <w:rPr>
                <w:sz w:val="20"/>
                <w:szCs w:val="20"/>
              </w:rPr>
              <w:t>-.36**</w:t>
            </w:r>
          </w:p>
        </w:tc>
        <w:tc>
          <w:tcPr>
            <w:tcW w:w="666" w:type="dxa"/>
            <w:shd w:val="clear" w:color="auto" w:fill="auto"/>
            <w:vAlign w:val="center"/>
          </w:tcPr>
          <w:p w14:paraId="61B2A4AD" w14:textId="4DB8F386" w:rsidR="00B93648" w:rsidRDefault="00B93648" w:rsidP="007E0FE9">
            <w:pPr>
              <w:jc w:val="center"/>
              <w:rPr>
                <w:sz w:val="20"/>
                <w:szCs w:val="20"/>
              </w:rPr>
            </w:pPr>
            <w:r>
              <w:rPr>
                <w:sz w:val="20"/>
                <w:szCs w:val="20"/>
              </w:rPr>
              <w:t>-.10</w:t>
            </w:r>
          </w:p>
        </w:tc>
        <w:tc>
          <w:tcPr>
            <w:tcW w:w="839" w:type="dxa"/>
            <w:shd w:val="clear" w:color="auto" w:fill="auto"/>
            <w:vAlign w:val="center"/>
          </w:tcPr>
          <w:p w14:paraId="1D646986" w14:textId="4B633A8A" w:rsidR="00B93648" w:rsidRDefault="00B93648" w:rsidP="007E0FE9">
            <w:pPr>
              <w:jc w:val="center"/>
              <w:rPr>
                <w:sz w:val="20"/>
                <w:szCs w:val="20"/>
              </w:rPr>
            </w:pPr>
            <w:r>
              <w:rPr>
                <w:sz w:val="20"/>
                <w:szCs w:val="20"/>
              </w:rPr>
              <w:t>-.48**</w:t>
            </w:r>
          </w:p>
        </w:tc>
        <w:tc>
          <w:tcPr>
            <w:tcW w:w="228" w:type="dxa"/>
            <w:shd w:val="clear" w:color="auto" w:fill="auto"/>
            <w:vAlign w:val="center"/>
          </w:tcPr>
          <w:p w14:paraId="30310A01" w14:textId="77777777" w:rsidR="00B93648" w:rsidRPr="00053BD2" w:rsidRDefault="00B93648" w:rsidP="007E0FE9">
            <w:pPr>
              <w:jc w:val="center"/>
              <w:rPr>
                <w:sz w:val="20"/>
                <w:szCs w:val="20"/>
              </w:rPr>
            </w:pPr>
          </w:p>
        </w:tc>
        <w:tc>
          <w:tcPr>
            <w:tcW w:w="786" w:type="dxa"/>
            <w:shd w:val="clear" w:color="auto" w:fill="auto"/>
            <w:vAlign w:val="center"/>
          </w:tcPr>
          <w:p w14:paraId="64599769" w14:textId="38C99853" w:rsidR="00B93648" w:rsidRDefault="00B93648" w:rsidP="007E0FE9">
            <w:pPr>
              <w:jc w:val="center"/>
              <w:rPr>
                <w:sz w:val="20"/>
                <w:szCs w:val="20"/>
              </w:rPr>
            </w:pPr>
            <w:r>
              <w:rPr>
                <w:sz w:val="20"/>
                <w:szCs w:val="20"/>
              </w:rPr>
              <w:t>-.22*</w:t>
            </w:r>
          </w:p>
        </w:tc>
        <w:tc>
          <w:tcPr>
            <w:tcW w:w="666" w:type="dxa"/>
            <w:shd w:val="clear" w:color="auto" w:fill="auto"/>
            <w:vAlign w:val="center"/>
          </w:tcPr>
          <w:p w14:paraId="5C12892F" w14:textId="28E579FA" w:rsidR="00B93648" w:rsidRDefault="00B93648" w:rsidP="007E0FE9">
            <w:pPr>
              <w:jc w:val="center"/>
              <w:rPr>
                <w:sz w:val="20"/>
                <w:szCs w:val="20"/>
              </w:rPr>
            </w:pPr>
            <w:r>
              <w:rPr>
                <w:sz w:val="20"/>
                <w:szCs w:val="20"/>
              </w:rPr>
              <w:t>.11</w:t>
            </w:r>
          </w:p>
        </w:tc>
        <w:tc>
          <w:tcPr>
            <w:tcW w:w="839" w:type="dxa"/>
            <w:shd w:val="clear" w:color="auto" w:fill="auto"/>
            <w:vAlign w:val="center"/>
          </w:tcPr>
          <w:p w14:paraId="4E25BB72" w14:textId="06852CC9" w:rsidR="00B93648" w:rsidRDefault="00B93648" w:rsidP="007E0FE9">
            <w:pPr>
              <w:jc w:val="center"/>
              <w:rPr>
                <w:sz w:val="20"/>
                <w:szCs w:val="20"/>
              </w:rPr>
            </w:pPr>
            <w:r>
              <w:rPr>
                <w:sz w:val="20"/>
                <w:szCs w:val="20"/>
              </w:rPr>
              <w:t>-.24*</w:t>
            </w:r>
          </w:p>
        </w:tc>
      </w:tr>
      <w:tr w:rsidR="000D5420" w:rsidRPr="00053BD2" w14:paraId="131CA4A1" w14:textId="77777777" w:rsidTr="007E0FE9">
        <w:tc>
          <w:tcPr>
            <w:tcW w:w="2075" w:type="dxa"/>
            <w:tcBorders>
              <w:bottom w:val="single" w:sz="4" w:space="0" w:color="auto"/>
            </w:tcBorders>
            <w:shd w:val="clear" w:color="auto" w:fill="auto"/>
            <w:vAlign w:val="center"/>
          </w:tcPr>
          <w:p w14:paraId="64E1EFF0" w14:textId="3D7D13EB" w:rsidR="000D5420" w:rsidRPr="00053BD2" w:rsidRDefault="000D5420" w:rsidP="00B027C2">
            <w:pPr>
              <w:rPr>
                <w:sz w:val="20"/>
                <w:szCs w:val="20"/>
              </w:rPr>
            </w:pPr>
            <w:r>
              <w:rPr>
                <w:sz w:val="20"/>
                <w:szCs w:val="20"/>
              </w:rPr>
              <w:t>Intrinsic Religiosity</w:t>
            </w:r>
          </w:p>
        </w:tc>
        <w:tc>
          <w:tcPr>
            <w:tcW w:w="786" w:type="dxa"/>
            <w:tcBorders>
              <w:bottom w:val="single" w:sz="4" w:space="0" w:color="auto"/>
            </w:tcBorders>
            <w:shd w:val="clear" w:color="auto" w:fill="auto"/>
            <w:vAlign w:val="center"/>
          </w:tcPr>
          <w:p w14:paraId="4ABEC55F" w14:textId="0271EC4D" w:rsidR="000D5420" w:rsidRDefault="000D5420" w:rsidP="007E0FE9">
            <w:pPr>
              <w:jc w:val="center"/>
              <w:rPr>
                <w:sz w:val="20"/>
                <w:szCs w:val="20"/>
              </w:rPr>
            </w:pPr>
            <w:r>
              <w:rPr>
                <w:sz w:val="20"/>
                <w:szCs w:val="20"/>
              </w:rPr>
              <w:t>.01</w:t>
            </w:r>
          </w:p>
        </w:tc>
        <w:tc>
          <w:tcPr>
            <w:tcW w:w="775" w:type="dxa"/>
            <w:tcBorders>
              <w:bottom w:val="single" w:sz="4" w:space="0" w:color="auto"/>
            </w:tcBorders>
            <w:shd w:val="clear" w:color="auto" w:fill="auto"/>
            <w:vAlign w:val="center"/>
          </w:tcPr>
          <w:p w14:paraId="13A698AB" w14:textId="67830150" w:rsidR="000D5420" w:rsidRDefault="000D5420" w:rsidP="007E0FE9">
            <w:pPr>
              <w:jc w:val="center"/>
              <w:rPr>
                <w:sz w:val="20"/>
                <w:szCs w:val="20"/>
              </w:rPr>
            </w:pPr>
            <w:r>
              <w:rPr>
                <w:sz w:val="20"/>
                <w:szCs w:val="20"/>
              </w:rPr>
              <w:t>-.03</w:t>
            </w:r>
          </w:p>
        </w:tc>
        <w:tc>
          <w:tcPr>
            <w:tcW w:w="769" w:type="dxa"/>
            <w:tcBorders>
              <w:bottom w:val="single" w:sz="4" w:space="0" w:color="auto"/>
            </w:tcBorders>
            <w:shd w:val="clear" w:color="auto" w:fill="auto"/>
            <w:vAlign w:val="center"/>
          </w:tcPr>
          <w:p w14:paraId="793B92B6" w14:textId="27D654E0" w:rsidR="000D5420" w:rsidRDefault="000D5420" w:rsidP="007E0FE9">
            <w:pPr>
              <w:jc w:val="center"/>
              <w:rPr>
                <w:sz w:val="20"/>
                <w:szCs w:val="20"/>
              </w:rPr>
            </w:pPr>
            <w:r>
              <w:rPr>
                <w:sz w:val="20"/>
                <w:szCs w:val="20"/>
              </w:rPr>
              <w:t>.04</w:t>
            </w:r>
          </w:p>
        </w:tc>
        <w:tc>
          <w:tcPr>
            <w:tcW w:w="228" w:type="dxa"/>
            <w:tcBorders>
              <w:bottom w:val="single" w:sz="4" w:space="0" w:color="auto"/>
            </w:tcBorders>
            <w:shd w:val="clear" w:color="auto" w:fill="auto"/>
            <w:vAlign w:val="center"/>
          </w:tcPr>
          <w:p w14:paraId="7D7851F7" w14:textId="77777777" w:rsidR="000D5420" w:rsidRPr="00053BD2" w:rsidRDefault="000D5420" w:rsidP="007E0FE9">
            <w:pPr>
              <w:jc w:val="center"/>
              <w:rPr>
                <w:sz w:val="20"/>
                <w:szCs w:val="20"/>
              </w:rPr>
            </w:pPr>
          </w:p>
        </w:tc>
        <w:tc>
          <w:tcPr>
            <w:tcW w:w="786" w:type="dxa"/>
            <w:tcBorders>
              <w:bottom w:val="single" w:sz="4" w:space="0" w:color="auto"/>
            </w:tcBorders>
            <w:shd w:val="clear" w:color="auto" w:fill="auto"/>
            <w:vAlign w:val="center"/>
          </w:tcPr>
          <w:p w14:paraId="0BED68B2" w14:textId="6482D4B0" w:rsidR="000D5420" w:rsidRDefault="000D5420" w:rsidP="007E0FE9">
            <w:pPr>
              <w:jc w:val="center"/>
              <w:rPr>
                <w:sz w:val="20"/>
                <w:szCs w:val="20"/>
              </w:rPr>
            </w:pPr>
            <w:r>
              <w:rPr>
                <w:sz w:val="20"/>
                <w:szCs w:val="20"/>
              </w:rPr>
              <w:t>-.09</w:t>
            </w:r>
          </w:p>
        </w:tc>
        <w:tc>
          <w:tcPr>
            <w:tcW w:w="666" w:type="dxa"/>
            <w:tcBorders>
              <w:bottom w:val="single" w:sz="4" w:space="0" w:color="auto"/>
            </w:tcBorders>
            <w:shd w:val="clear" w:color="auto" w:fill="auto"/>
            <w:vAlign w:val="center"/>
          </w:tcPr>
          <w:p w14:paraId="2DD620CC" w14:textId="0A265070" w:rsidR="000D5420" w:rsidRDefault="000D5420" w:rsidP="007E0FE9">
            <w:pPr>
              <w:jc w:val="center"/>
              <w:rPr>
                <w:sz w:val="20"/>
                <w:szCs w:val="20"/>
              </w:rPr>
            </w:pPr>
            <w:r>
              <w:rPr>
                <w:sz w:val="20"/>
                <w:szCs w:val="20"/>
              </w:rPr>
              <w:t>.01</w:t>
            </w:r>
          </w:p>
        </w:tc>
        <w:tc>
          <w:tcPr>
            <w:tcW w:w="839" w:type="dxa"/>
            <w:tcBorders>
              <w:bottom w:val="single" w:sz="4" w:space="0" w:color="auto"/>
            </w:tcBorders>
            <w:shd w:val="clear" w:color="auto" w:fill="auto"/>
            <w:vAlign w:val="center"/>
          </w:tcPr>
          <w:p w14:paraId="0AB50B6D" w14:textId="7AE88CC2" w:rsidR="000D5420" w:rsidRDefault="000D5420" w:rsidP="007E0FE9">
            <w:pPr>
              <w:jc w:val="center"/>
              <w:rPr>
                <w:sz w:val="20"/>
                <w:szCs w:val="20"/>
              </w:rPr>
            </w:pPr>
            <w:r>
              <w:rPr>
                <w:sz w:val="20"/>
                <w:szCs w:val="20"/>
              </w:rPr>
              <w:t>-.15</w:t>
            </w:r>
          </w:p>
        </w:tc>
        <w:tc>
          <w:tcPr>
            <w:tcW w:w="228" w:type="dxa"/>
            <w:tcBorders>
              <w:bottom w:val="single" w:sz="4" w:space="0" w:color="auto"/>
            </w:tcBorders>
            <w:shd w:val="clear" w:color="auto" w:fill="auto"/>
            <w:vAlign w:val="center"/>
          </w:tcPr>
          <w:p w14:paraId="5E841BDA" w14:textId="77777777" w:rsidR="000D5420" w:rsidRPr="00053BD2" w:rsidRDefault="000D5420" w:rsidP="007E0FE9">
            <w:pPr>
              <w:jc w:val="center"/>
              <w:rPr>
                <w:sz w:val="20"/>
                <w:szCs w:val="20"/>
              </w:rPr>
            </w:pPr>
          </w:p>
        </w:tc>
        <w:tc>
          <w:tcPr>
            <w:tcW w:w="786" w:type="dxa"/>
            <w:tcBorders>
              <w:bottom w:val="single" w:sz="4" w:space="0" w:color="auto"/>
            </w:tcBorders>
            <w:shd w:val="clear" w:color="auto" w:fill="auto"/>
            <w:vAlign w:val="center"/>
          </w:tcPr>
          <w:p w14:paraId="0D2D7070" w14:textId="466CF7E5" w:rsidR="000D5420" w:rsidRDefault="000D5420" w:rsidP="007E0FE9">
            <w:pPr>
              <w:jc w:val="center"/>
              <w:rPr>
                <w:sz w:val="20"/>
                <w:szCs w:val="20"/>
              </w:rPr>
            </w:pPr>
            <w:r>
              <w:rPr>
                <w:sz w:val="20"/>
                <w:szCs w:val="20"/>
              </w:rPr>
              <w:t>.03</w:t>
            </w:r>
          </w:p>
        </w:tc>
        <w:tc>
          <w:tcPr>
            <w:tcW w:w="666" w:type="dxa"/>
            <w:tcBorders>
              <w:bottom w:val="single" w:sz="4" w:space="0" w:color="auto"/>
            </w:tcBorders>
            <w:shd w:val="clear" w:color="auto" w:fill="auto"/>
            <w:vAlign w:val="center"/>
          </w:tcPr>
          <w:p w14:paraId="233F1DEE" w14:textId="5D6EEB20" w:rsidR="000D5420" w:rsidRDefault="000D5420" w:rsidP="007E0FE9">
            <w:pPr>
              <w:jc w:val="center"/>
              <w:rPr>
                <w:sz w:val="20"/>
                <w:szCs w:val="20"/>
              </w:rPr>
            </w:pPr>
            <w:r>
              <w:rPr>
                <w:sz w:val="20"/>
                <w:szCs w:val="20"/>
              </w:rPr>
              <w:t>-.02</w:t>
            </w:r>
          </w:p>
        </w:tc>
        <w:tc>
          <w:tcPr>
            <w:tcW w:w="839" w:type="dxa"/>
            <w:tcBorders>
              <w:bottom w:val="single" w:sz="4" w:space="0" w:color="auto"/>
            </w:tcBorders>
            <w:shd w:val="clear" w:color="auto" w:fill="auto"/>
            <w:vAlign w:val="center"/>
          </w:tcPr>
          <w:p w14:paraId="476BF180" w14:textId="033F09CA" w:rsidR="000D5420" w:rsidRDefault="000D5420" w:rsidP="007E0FE9">
            <w:pPr>
              <w:jc w:val="center"/>
              <w:rPr>
                <w:sz w:val="20"/>
                <w:szCs w:val="20"/>
              </w:rPr>
            </w:pPr>
            <w:r>
              <w:rPr>
                <w:sz w:val="20"/>
                <w:szCs w:val="20"/>
              </w:rPr>
              <w:t>.07</w:t>
            </w:r>
          </w:p>
        </w:tc>
      </w:tr>
    </w:tbl>
    <w:p w14:paraId="7BE7C6E2" w14:textId="6AC50DA3" w:rsidR="004D0AED" w:rsidRDefault="00184589" w:rsidP="006B2D5B">
      <w:pPr>
        <w:rPr>
          <w:rFonts w:cs="Times New Roman"/>
          <w:szCs w:val="24"/>
        </w:rPr>
      </w:pPr>
      <w:r>
        <w:rPr>
          <w:rFonts w:cs="Times New Roman"/>
          <w:szCs w:val="24"/>
        </w:rPr>
        <w:t>*</w:t>
      </w:r>
      <w:r w:rsidRPr="00184589">
        <w:rPr>
          <w:rFonts w:cs="Times New Roman"/>
          <w:i/>
          <w:iCs/>
          <w:szCs w:val="24"/>
        </w:rPr>
        <w:t>p</w:t>
      </w:r>
      <w:r>
        <w:rPr>
          <w:rFonts w:cs="Times New Roman"/>
          <w:szCs w:val="24"/>
        </w:rPr>
        <w:t>=.05, **</w:t>
      </w:r>
      <w:r w:rsidRPr="00184589">
        <w:rPr>
          <w:rFonts w:cs="Times New Roman"/>
          <w:i/>
          <w:iCs/>
          <w:szCs w:val="24"/>
        </w:rPr>
        <w:t>p</w:t>
      </w:r>
      <w:r>
        <w:rPr>
          <w:rFonts w:cs="Times New Roman"/>
          <w:szCs w:val="24"/>
        </w:rPr>
        <w:t>=.01</w:t>
      </w:r>
      <w:r w:rsidR="005C5C1F">
        <w:rPr>
          <w:rFonts w:cs="Times New Roman"/>
          <w:szCs w:val="24"/>
        </w:rPr>
        <w:t xml:space="preserve">, </w:t>
      </w:r>
      <w:r w:rsidR="005C5C1F" w:rsidRPr="00CA01EC">
        <w:rPr>
          <w:rFonts w:cs="Times New Roman"/>
          <w:szCs w:val="24"/>
          <w:vertAlign w:val="superscript"/>
        </w:rPr>
        <w:t>a</w:t>
      </w:r>
      <w:r w:rsidR="005C5C1F" w:rsidRPr="00CA01EC">
        <w:rPr>
          <w:rFonts w:cs="Times New Roman"/>
          <w:i/>
          <w:iCs/>
          <w:szCs w:val="24"/>
        </w:rPr>
        <w:t>p</w:t>
      </w:r>
      <w:r w:rsidR="005C5C1F">
        <w:rPr>
          <w:rFonts w:cs="Times New Roman"/>
          <w:szCs w:val="24"/>
        </w:rPr>
        <w:t>=.05</w:t>
      </w:r>
      <w:r w:rsidR="00CA01EC">
        <w:rPr>
          <w:rFonts w:cs="Times New Roman"/>
          <w:szCs w:val="24"/>
        </w:rPr>
        <w:t xml:space="preserve">3, </w:t>
      </w:r>
      <w:r w:rsidR="00CA01EC" w:rsidRPr="005134DB">
        <w:rPr>
          <w:rFonts w:cs="Times New Roman"/>
          <w:szCs w:val="24"/>
          <w:vertAlign w:val="superscript"/>
        </w:rPr>
        <w:t>b</w:t>
      </w:r>
      <w:r w:rsidR="00CA01EC" w:rsidRPr="005134DB">
        <w:rPr>
          <w:rFonts w:cs="Times New Roman"/>
          <w:i/>
          <w:iCs/>
          <w:szCs w:val="24"/>
        </w:rPr>
        <w:t>p</w:t>
      </w:r>
      <w:r w:rsidR="00430771">
        <w:rPr>
          <w:rFonts w:cs="Times New Roman"/>
          <w:szCs w:val="24"/>
        </w:rPr>
        <w:t>=</w:t>
      </w:r>
      <w:r w:rsidR="005134DB">
        <w:rPr>
          <w:rFonts w:cs="Times New Roman"/>
          <w:szCs w:val="24"/>
        </w:rPr>
        <w:t xml:space="preserve">.10, </w:t>
      </w:r>
      <w:r w:rsidR="005134DB" w:rsidRPr="00E618CE">
        <w:rPr>
          <w:rFonts w:cs="Times New Roman"/>
          <w:szCs w:val="24"/>
          <w:vertAlign w:val="superscript"/>
        </w:rPr>
        <w:t>c</w:t>
      </w:r>
      <w:r w:rsidR="005134DB" w:rsidRPr="00E618CE">
        <w:rPr>
          <w:rFonts w:cs="Times New Roman"/>
          <w:i/>
          <w:iCs/>
          <w:szCs w:val="24"/>
        </w:rPr>
        <w:t>p</w:t>
      </w:r>
      <w:r w:rsidR="005134DB">
        <w:rPr>
          <w:rFonts w:cs="Times New Roman"/>
          <w:szCs w:val="24"/>
        </w:rPr>
        <w:t>=</w:t>
      </w:r>
      <w:r w:rsidR="00E618CE">
        <w:rPr>
          <w:rFonts w:cs="Times New Roman"/>
          <w:szCs w:val="24"/>
        </w:rPr>
        <w:t>.07.</w:t>
      </w:r>
    </w:p>
    <w:sectPr w:rsidR="004D0AED" w:rsidSect="000F3947">
      <w:headerReference w:type="even" r:id="rId9"/>
      <w:headerReference w:type="default" r:id="rId10"/>
      <w:footerReference w:type="even" r:id="rId11"/>
      <w:footerReference w:type="default" r:id="rId12"/>
      <w:headerReference w:type="first" r:id="rId13"/>
      <w:pgSz w:w="11906" w:h="16838" w:code="9"/>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003D" w14:textId="77777777" w:rsidR="007F78F0" w:rsidRDefault="007F78F0" w:rsidP="00117666">
      <w:pPr>
        <w:spacing w:after="0"/>
      </w:pPr>
      <w:r>
        <w:separator/>
      </w:r>
    </w:p>
  </w:endnote>
  <w:endnote w:type="continuationSeparator" w:id="0">
    <w:p w14:paraId="146A4A88" w14:textId="77777777" w:rsidR="007F78F0" w:rsidRDefault="007F78F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D87" w14:textId="77777777"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686C9D" w:rsidRPr="00E9561B" w:rsidRDefault="00C52A7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686C9D" w:rsidRPr="00E9561B" w:rsidRDefault="00C52A7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FF2"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AF866" w14:textId="77777777" w:rsidR="007F78F0" w:rsidRDefault="007F78F0" w:rsidP="00117666">
      <w:pPr>
        <w:spacing w:after="0"/>
      </w:pPr>
      <w:r>
        <w:separator/>
      </w:r>
    </w:p>
  </w:footnote>
  <w:footnote w:type="continuationSeparator" w:id="0">
    <w:p w14:paraId="00A72FE2" w14:textId="77777777" w:rsidR="007F78F0" w:rsidRDefault="007F78F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1D40B438" w:rsidR="00686C9D" w:rsidRPr="00A828E1" w:rsidRDefault="00A11F21" w:rsidP="00A11F21">
    <w:pPr>
      <w:pStyle w:val="Header"/>
      <w:jc w:val="right"/>
      <w:rPr>
        <w:lang w:val="en-AU"/>
      </w:rPr>
    </w:pPr>
    <w:r>
      <w:rPr>
        <w:lang w:val="en-AU"/>
      </w:rPr>
      <w:t xml:space="preserve">Measuring </w:t>
    </w:r>
    <w:r w:rsidR="00A828E1">
      <w:rPr>
        <w:lang w:val="en-AU"/>
      </w:rPr>
      <w:t>COVID-19 fear and threat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35D0150B" w:rsidR="00686C9D" w:rsidRPr="00023B41" w:rsidRDefault="00023B41" w:rsidP="00023B41">
    <w:pPr>
      <w:pStyle w:val="Header"/>
      <w:jc w:val="right"/>
      <w:rPr>
        <w:lang w:val="en-AU"/>
      </w:rPr>
    </w:pPr>
    <w:r>
      <w:rPr>
        <w:lang w:val="en-AU"/>
      </w:rPr>
      <w:t xml:space="preserve">Measuring COVID-19 fear </w:t>
    </w:r>
    <w:r w:rsidR="00F81082">
      <w:rPr>
        <w:lang w:val="en-AU"/>
      </w:rPr>
      <w:t>in university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7A1EC956" w:rsidR="00686C9D" w:rsidRDefault="00C52A7B" w:rsidP="00A5300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1"/>
    <w:rsid w:val="00006B28"/>
    <w:rsid w:val="000101AC"/>
    <w:rsid w:val="00010300"/>
    <w:rsid w:val="0001142F"/>
    <w:rsid w:val="000127F6"/>
    <w:rsid w:val="00014FFE"/>
    <w:rsid w:val="000165AC"/>
    <w:rsid w:val="00020701"/>
    <w:rsid w:val="00022D49"/>
    <w:rsid w:val="00022E9E"/>
    <w:rsid w:val="00023B41"/>
    <w:rsid w:val="00023D14"/>
    <w:rsid w:val="000268DE"/>
    <w:rsid w:val="00027457"/>
    <w:rsid w:val="00027E9B"/>
    <w:rsid w:val="00034304"/>
    <w:rsid w:val="00035434"/>
    <w:rsid w:val="00037263"/>
    <w:rsid w:val="000412F1"/>
    <w:rsid w:val="00042CB7"/>
    <w:rsid w:val="00042FDA"/>
    <w:rsid w:val="00045678"/>
    <w:rsid w:val="000458E4"/>
    <w:rsid w:val="00047996"/>
    <w:rsid w:val="00052240"/>
    <w:rsid w:val="00053BD2"/>
    <w:rsid w:val="000566DE"/>
    <w:rsid w:val="00062F1A"/>
    <w:rsid w:val="00062FCD"/>
    <w:rsid w:val="0006314C"/>
    <w:rsid w:val="00063D84"/>
    <w:rsid w:val="00065B45"/>
    <w:rsid w:val="0006636D"/>
    <w:rsid w:val="00067A3B"/>
    <w:rsid w:val="00070775"/>
    <w:rsid w:val="00077D53"/>
    <w:rsid w:val="00080FE3"/>
    <w:rsid w:val="00081113"/>
    <w:rsid w:val="00081394"/>
    <w:rsid w:val="000837E2"/>
    <w:rsid w:val="00086679"/>
    <w:rsid w:val="00087868"/>
    <w:rsid w:val="00090B3A"/>
    <w:rsid w:val="00090C25"/>
    <w:rsid w:val="000970DA"/>
    <w:rsid w:val="000A2212"/>
    <w:rsid w:val="000A26DA"/>
    <w:rsid w:val="000B34BD"/>
    <w:rsid w:val="000B6EE4"/>
    <w:rsid w:val="000C2BE0"/>
    <w:rsid w:val="000C4473"/>
    <w:rsid w:val="000C4DD2"/>
    <w:rsid w:val="000C7E2A"/>
    <w:rsid w:val="000D3150"/>
    <w:rsid w:val="000D5420"/>
    <w:rsid w:val="000E0E12"/>
    <w:rsid w:val="000E0F22"/>
    <w:rsid w:val="000E1CF6"/>
    <w:rsid w:val="000E20C2"/>
    <w:rsid w:val="000E3312"/>
    <w:rsid w:val="000E3511"/>
    <w:rsid w:val="000E38C2"/>
    <w:rsid w:val="000E6024"/>
    <w:rsid w:val="000E63AB"/>
    <w:rsid w:val="000E65C1"/>
    <w:rsid w:val="000E758A"/>
    <w:rsid w:val="000E7F09"/>
    <w:rsid w:val="000F0172"/>
    <w:rsid w:val="000F1B9B"/>
    <w:rsid w:val="000F3947"/>
    <w:rsid w:val="000F4CFB"/>
    <w:rsid w:val="000F6936"/>
    <w:rsid w:val="000F7A36"/>
    <w:rsid w:val="001044B5"/>
    <w:rsid w:val="001054FF"/>
    <w:rsid w:val="00106F4A"/>
    <w:rsid w:val="00114101"/>
    <w:rsid w:val="00116F75"/>
    <w:rsid w:val="001173E0"/>
    <w:rsid w:val="00117666"/>
    <w:rsid w:val="00122365"/>
    <w:rsid w:val="001223A7"/>
    <w:rsid w:val="00123878"/>
    <w:rsid w:val="00124240"/>
    <w:rsid w:val="00124432"/>
    <w:rsid w:val="0012560B"/>
    <w:rsid w:val="001338A2"/>
    <w:rsid w:val="00134256"/>
    <w:rsid w:val="00135F23"/>
    <w:rsid w:val="00147395"/>
    <w:rsid w:val="001517C8"/>
    <w:rsid w:val="001552C9"/>
    <w:rsid w:val="00156657"/>
    <w:rsid w:val="00163D0B"/>
    <w:rsid w:val="00170434"/>
    <w:rsid w:val="001707AE"/>
    <w:rsid w:val="001745FE"/>
    <w:rsid w:val="0017514B"/>
    <w:rsid w:val="00177D84"/>
    <w:rsid w:val="00182F58"/>
    <w:rsid w:val="001839BB"/>
    <w:rsid w:val="00183A20"/>
    <w:rsid w:val="00184589"/>
    <w:rsid w:val="00185F2E"/>
    <w:rsid w:val="001934E3"/>
    <w:rsid w:val="001964EF"/>
    <w:rsid w:val="00197895"/>
    <w:rsid w:val="001A277D"/>
    <w:rsid w:val="001A2B2B"/>
    <w:rsid w:val="001A3EDE"/>
    <w:rsid w:val="001A7A59"/>
    <w:rsid w:val="001B1A2C"/>
    <w:rsid w:val="001B23E6"/>
    <w:rsid w:val="001B2E49"/>
    <w:rsid w:val="001B43D6"/>
    <w:rsid w:val="001B7A34"/>
    <w:rsid w:val="001C2345"/>
    <w:rsid w:val="001D07EA"/>
    <w:rsid w:val="001D38A0"/>
    <w:rsid w:val="001D5C23"/>
    <w:rsid w:val="001E04E0"/>
    <w:rsid w:val="001E63DA"/>
    <w:rsid w:val="001F0BDC"/>
    <w:rsid w:val="001F13C3"/>
    <w:rsid w:val="001F2449"/>
    <w:rsid w:val="001F3903"/>
    <w:rsid w:val="001F4C07"/>
    <w:rsid w:val="00201458"/>
    <w:rsid w:val="00205920"/>
    <w:rsid w:val="00212285"/>
    <w:rsid w:val="00214330"/>
    <w:rsid w:val="002164DA"/>
    <w:rsid w:val="00216A32"/>
    <w:rsid w:val="00220AEA"/>
    <w:rsid w:val="00221E70"/>
    <w:rsid w:val="00225173"/>
    <w:rsid w:val="00226954"/>
    <w:rsid w:val="00235802"/>
    <w:rsid w:val="002429C8"/>
    <w:rsid w:val="0025647C"/>
    <w:rsid w:val="002613FF"/>
    <w:rsid w:val="00261B60"/>
    <w:rsid w:val="0026232F"/>
    <w:rsid w:val="002629A3"/>
    <w:rsid w:val="002630C8"/>
    <w:rsid w:val="00263798"/>
    <w:rsid w:val="00265660"/>
    <w:rsid w:val="00267D18"/>
    <w:rsid w:val="0027635F"/>
    <w:rsid w:val="002826E0"/>
    <w:rsid w:val="002833B9"/>
    <w:rsid w:val="00284DE0"/>
    <w:rsid w:val="0028664D"/>
    <w:rsid w:val="002868E2"/>
    <w:rsid w:val="002869C3"/>
    <w:rsid w:val="00291B3D"/>
    <w:rsid w:val="002936E4"/>
    <w:rsid w:val="00295262"/>
    <w:rsid w:val="002962A3"/>
    <w:rsid w:val="00296B88"/>
    <w:rsid w:val="00297B4E"/>
    <w:rsid w:val="002A1D98"/>
    <w:rsid w:val="002A3D75"/>
    <w:rsid w:val="002A74BA"/>
    <w:rsid w:val="002B69CD"/>
    <w:rsid w:val="002B6BC0"/>
    <w:rsid w:val="002C74CA"/>
    <w:rsid w:val="002D044A"/>
    <w:rsid w:val="002D4D99"/>
    <w:rsid w:val="002D5DB6"/>
    <w:rsid w:val="002E0956"/>
    <w:rsid w:val="002E2638"/>
    <w:rsid w:val="002E4BDE"/>
    <w:rsid w:val="002E6D0B"/>
    <w:rsid w:val="002E6D4A"/>
    <w:rsid w:val="002E7D9F"/>
    <w:rsid w:val="002F2C5F"/>
    <w:rsid w:val="002F3901"/>
    <w:rsid w:val="002F3A10"/>
    <w:rsid w:val="002F663B"/>
    <w:rsid w:val="002F744D"/>
    <w:rsid w:val="002F7A65"/>
    <w:rsid w:val="00300398"/>
    <w:rsid w:val="00300F23"/>
    <w:rsid w:val="003033D3"/>
    <w:rsid w:val="00303B15"/>
    <w:rsid w:val="00303DE6"/>
    <w:rsid w:val="0030731E"/>
    <w:rsid w:val="00310124"/>
    <w:rsid w:val="00310208"/>
    <w:rsid w:val="00311F09"/>
    <w:rsid w:val="00313AC3"/>
    <w:rsid w:val="00313CA7"/>
    <w:rsid w:val="0031414D"/>
    <w:rsid w:val="00314369"/>
    <w:rsid w:val="00315466"/>
    <w:rsid w:val="0031637F"/>
    <w:rsid w:val="00317CDC"/>
    <w:rsid w:val="00321BBE"/>
    <w:rsid w:val="00322AB0"/>
    <w:rsid w:val="00322C65"/>
    <w:rsid w:val="00327AD5"/>
    <w:rsid w:val="00330DBD"/>
    <w:rsid w:val="00330F82"/>
    <w:rsid w:val="00332D57"/>
    <w:rsid w:val="00335EFE"/>
    <w:rsid w:val="00342304"/>
    <w:rsid w:val="003471F1"/>
    <w:rsid w:val="003513C7"/>
    <w:rsid w:val="003539E5"/>
    <w:rsid w:val="003544FB"/>
    <w:rsid w:val="00355FCC"/>
    <w:rsid w:val="00360D3A"/>
    <w:rsid w:val="003629B9"/>
    <w:rsid w:val="0036491C"/>
    <w:rsid w:val="003652F5"/>
    <w:rsid w:val="00365D63"/>
    <w:rsid w:val="0036793B"/>
    <w:rsid w:val="00372183"/>
    <w:rsid w:val="00372682"/>
    <w:rsid w:val="00375391"/>
    <w:rsid w:val="00375DE1"/>
    <w:rsid w:val="00376CC5"/>
    <w:rsid w:val="0037706F"/>
    <w:rsid w:val="0038313A"/>
    <w:rsid w:val="00383F46"/>
    <w:rsid w:val="003906DA"/>
    <w:rsid w:val="00391D64"/>
    <w:rsid w:val="0039244F"/>
    <w:rsid w:val="003938BA"/>
    <w:rsid w:val="00394231"/>
    <w:rsid w:val="003950BE"/>
    <w:rsid w:val="00395E76"/>
    <w:rsid w:val="0039622B"/>
    <w:rsid w:val="003964B0"/>
    <w:rsid w:val="0039693B"/>
    <w:rsid w:val="00397491"/>
    <w:rsid w:val="003A0442"/>
    <w:rsid w:val="003A0D9F"/>
    <w:rsid w:val="003A10BB"/>
    <w:rsid w:val="003A2944"/>
    <w:rsid w:val="003A4B03"/>
    <w:rsid w:val="003B1750"/>
    <w:rsid w:val="003B38C2"/>
    <w:rsid w:val="003B3A6E"/>
    <w:rsid w:val="003B464F"/>
    <w:rsid w:val="003B50C4"/>
    <w:rsid w:val="003B75A2"/>
    <w:rsid w:val="003C16CF"/>
    <w:rsid w:val="003C2202"/>
    <w:rsid w:val="003C4F48"/>
    <w:rsid w:val="003C6A22"/>
    <w:rsid w:val="003D031C"/>
    <w:rsid w:val="003D0CAC"/>
    <w:rsid w:val="003D114C"/>
    <w:rsid w:val="003D2F2D"/>
    <w:rsid w:val="003D4F74"/>
    <w:rsid w:val="003D7CA0"/>
    <w:rsid w:val="003E0E7E"/>
    <w:rsid w:val="003E158D"/>
    <w:rsid w:val="003E2350"/>
    <w:rsid w:val="003E2FC4"/>
    <w:rsid w:val="003E387A"/>
    <w:rsid w:val="003E5FC4"/>
    <w:rsid w:val="003E6326"/>
    <w:rsid w:val="003F1DD8"/>
    <w:rsid w:val="003F2FC6"/>
    <w:rsid w:val="003F383E"/>
    <w:rsid w:val="003F534D"/>
    <w:rsid w:val="0040014F"/>
    <w:rsid w:val="00400B20"/>
    <w:rsid w:val="00401590"/>
    <w:rsid w:val="00402D2C"/>
    <w:rsid w:val="004037D2"/>
    <w:rsid w:val="00404DA7"/>
    <w:rsid w:val="00404E15"/>
    <w:rsid w:val="00404F68"/>
    <w:rsid w:val="00404FAF"/>
    <w:rsid w:val="0041063C"/>
    <w:rsid w:val="00417B25"/>
    <w:rsid w:val="00422C94"/>
    <w:rsid w:val="0042367D"/>
    <w:rsid w:val="00427C48"/>
    <w:rsid w:val="00430771"/>
    <w:rsid w:val="00431484"/>
    <w:rsid w:val="00431B88"/>
    <w:rsid w:val="00433239"/>
    <w:rsid w:val="004339B6"/>
    <w:rsid w:val="0044079A"/>
    <w:rsid w:val="00446D0F"/>
    <w:rsid w:val="004526E8"/>
    <w:rsid w:val="0045705E"/>
    <w:rsid w:val="004572F7"/>
    <w:rsid w:val="0046155C"/>
    <w:rsid w:val="00463E3D"/>
    <w:rsid w:val="004640FE"/>
    <w:rsid w:val="004645AE"/>
    <w:rsid w:val="004659FE"/>
    <w:rsid w:val="00470157"/>
    <w:rsid w:val="00470DFB"/>
    <w:rsid w:val="00471A2F"/>
    <w:rsid w:val="00472873"/>
    <w:rsid w:val="00473EA0"/>
    <w:rsid w:val="00474852"/>
    <w:rsid w:val="00474A84"/>
    <w:rsid w:val="004769F3"/>
    <w:rsid w:val="00482EED"/>
    <w:rsid w:val="00482F9B"/>
    <w:rsid w:val="00483DF9"/>
    <w:rsid w:val="00484D40"/>
    <w:rsid w:val="0048545C"/>
    <w:rsid w:val="0049407F"/>
    <w:rsid w:val="00496DA6"/>
    <w:rsid w:val="00497FD4"/>
    <w:rsid w:val="004A09DE"/>
    <w:rsid w:val="004A3623"/>
    <w:rsid w:val="004A394E"/>
    <w:rsid w:val="004A4C82"/>
    <w:rsid w:val="004A6441"/>
    <w:rsid w:val="004B074B"/>
    <w:rsid w:val="004B13B7"/>
    <w:rsid w:val="004B205B"/>
    <w:rsid w:val="004B3441"/>
    <w:rsid w:val="004B356A"/>
    <w:rsid w:val="004C17B3"/>
    <w:rsid w:val="004C3C8C"/>
    <w:rsid w:val="004C41F0"/>
    <w:rsid w:val="004D03EE"/>
    <w:rsid w:val="004D0AED"/>
    <w:rsid w:val="004D26B5"/>
    <w:rsid w:val="004D3E33"/>
    <w:rsid w:val="004D4643"/>
    <w:rsid w:val="004D4CA6"/>
    <w:rsid w:val="004D663F"/>
    <w:rsid w:val="004E1667"/>
    <w:rsid w:val="004E24DD"/>
    <w:rsid w:val="004E4498"/>
    <w:rsid w:val="004E7A8C"/>
    <w:rsid w:val="004F1A66"/>
    <w:rsid w:val="004F3BA2"/>
    <w:rsid w:val="00500752"/>
    <w:rsid w:val="00501CA7"/>
    <w:rsid w:val="00506138"/>
    <w:rsid w:val="00506566"/>
    <w:rsid w:val="00507973"/>
    <w:rsid w:val="0051151D"/>
    <w:rsid w:val="00512458"/>
    <w:rsid w:val="005125E1"/>
    <w:rsid w:val="005134DB"/>
    <w:rsid w:val="0051406C"/>
    <w:rsid w:val="0051516C"/>
    <w:rsid w:val="00520F35"/>
    <w:rsid w:val="0052154C"/>
    <w:rsid w:val="005217E1"/>
    <w:rsid w:val="005239F4"/>
    <w:rsid w:val="005248B9"/>
    <w:rsid w:val="005250F2"/>
    <w:rsid w:val="00525CED"/>
    <w:rsid w:val="00526187"/>
    <w:rsid w:val="00530B18"/>
    <w:rsid w:val="005320FA"/>
    <w:rsid w:val="00534328"/>
    <w:rsid w:val="00535734"/>
    <w:rsid w:val="00541D48"/>
    <w:rsid w:val="00542A7A"/>
    <w:rsid w:val="005513E1"/>
    <w:rsid w:val="00551956"/>
    <w:rsid w:val="00552A07"/>
    <w:rsid w:val="00557BDD"/>
    <w:rsid w:val="0056000F"/>
    <w:rsid w:val="00560CAB"/>
    <w:rsid w:val="00561879"/>
    <w:rsid w:val="00562F2B"/>
    <w:rsid w:val="00563E4F"/>
    <w:rsid w:val="005670E1"/>
    <w:rsid w:val="005709C4"/>
    <w:rsid w:val="005719A6"/>
    <w:rsid w:val="0057257C"/>
    <w:rsid w:val="0057295D"/>
    <w:rsid w:val="00572BA0"/>
    <w:rsid w:val="00575D15"/>
    <w:rsid w:val="005808F6"/>
    <w:rsid w:val="00580B8E"/>
    <w:rsid w:val="0058254E"/>
    <w:rsid w:val="00583E06"/>
    <w:rsid w:val="00583FD2"/>
    <w:rsid w:val="0058620A"/>
    <w:rsid w:val="005871BB"/>
    <w:rsid w:val="00591BC2"/>
    <w:rsid w:val="00592193"/>
    <w:rsid w:val="005926A0"/>
    <w:rsid w:val="00594D04"/>
    <w:rsid w:val="005A0B7F"/>
    <w:rsid w:val="005A1A38"/>
    <w:rsid w:val="005A1D84"/>
    <w:rsid w:val="005A6DB0"/>
    <w:rsid w:val="005A70EA"/>
    <w:rsid w:val="005B100B"/>
    <w:rsid w:val="005B635A"/>
    <w:rsid w:val="005B75C9"/>
    <w:rsid w:val="005C0532"/>
    <w:rsid w:val="005C1568"/>
    <w:rsid w:val="005C3963"/>
    <w:rsid w:val="005C47A8"/>
    <w:rsid w:val="005C5C1F"/>
    <w:rsid w:val="005D0A79"/>
    <w:rsid w:val="005D0A7C"/>
    <w:rsid w:val="005D125C"/>
    <w:rsid w:val="005D1840"/>
    <w:rsid w:val="005D35E4"/>
    <w:rsid w:val="005D4B47"/>
    <w:rsid w:val="005D6C61"/>
    <w:rsid w:val="005D7910"/>
    <w:rsid w:val="005E3A32"/>
    <w:rsid w:val="005E4BB7"/>
    <w:rsid w:val="005E6B7D"/>
    <w:rsid w:val="005E6D18"/>
    <w:rsid w:val="005F0D2A"/>
    <w:rsid w:val="005F381B"/>
    <w:rsid w:val="005F3E4E"/>
    <w:rsid w:val="006028A3"/>
    <w:rsid w:val="006077E4"/>
    <w:rsid w:val="00607AAE"/>
    <w:rsid w:val="00611920"/>
    <w:rsid w:val="006213C4"/>
    <w:rsid w:val="0062154F"/>
    <w:rsid w:val="00621760"/>
    <w:rsid w:val="00631A8C"/>
    <w:rsid w:val="00632C2C"/>
    <w:rsid w:val="0064248F"/>
    <w:rsid w:val="00643CB7"/>
    <w:rsid w:val="00644004"/>
    <w:rsid w:val="00644084"/>
    <w:rsid w:val="0064729B"/>
    <w:rsid w:val="0065010B"/>
    <w:rsid w:val="00651CA2"/>
    <w:rsid w:val="00653930"/>
    <w:rsid w:val="00653D60"/>
    <w:rsid w:val="00653F3D"/>
    <w:rsid w:val="00656B2A"/>
    <w:rsid w:val="00657BD9"/>
    <w:rsid w:val="00660D05"/>
    <w:rsid w:val="00663F41"/>
    <w:rsid w:val="006644AA"/>
    <w:rsid w:val="00671D9A"/>
    <w:rsid w:val="0067259C"/>
    <w:rsid w:val="006738C8"/>
    <w:rsid w:val="00673952"/>
    <w:rsid w:val="0067428C"/>
    <w:rsid w:val="00674A9B"/>
    <w:rsid w:val="006752BE"/>
    <w:rsid w:val="006779AE"/>
    <w:rsid w:val="00681821"/>
    <w:rsid w:val="00682914"/>
    <w:rsid w:val="00686C9D"/>
    <w:rsid w:val="006877A4"/>
    <w:rsid w:val="00691951"/>
    <w:rsid w:val="00691BBF"/>
    <w:rsid w:val="006940A9"/>
    <w:rsid w:val="00695C05"/>
    <w:rsid w:val="00696954"/>
    <w:rsid w:val="00696F44"/>
    <w:rsid w:val="006A08A0"/>
    <w:rsid w:val="006A13AC"/>
    <w:rsid w:val="006A223C"/>
    <w:rsid w:val="006A3FB6"/>
    <w:rsid w:val="006B0C3F"/>
    <w:rsid w:val="006B2D5B"/>
    <w:rsid w:val="006B55E6"/>
    <w:rsid w:val="006B7D14"/>
    <w:rsid w:val="006C1D4C"/>
    <w:rsid w:val="006C1E83"/>
    <w:rsid w:val="006C2CB8"/>
    <w:rsid w:val="006D188E"/>
    <w:rsid w:val="006D39DC"/>
    <w:rsid w:val="006D403A"/>
    <w:rsid w:val="006D5B93"/>
    <w:rsid w:val="006D60EE"/>
    <w:rsid w:val="006D6D45"/>
    <w:rsid w:val="006E1E67"/>
    <w:rsid w:val="006E4B0B"/>
    <w:rsid w:val="006E531F"/>
    <w:rsid w:val="006E6311"/>
    <w:rsid w:val="006E689D"/>
    <w:rsid w:val="006E7F71"/>
    <w:rsid w:val="006F1756"/>
    <w:rsid w:val="006F1C29"/>
    <w:rsid w:val="006F6BB4"/>
    <w:rsid w:val="006F6CEF"/>
    <w:rsid w:val="006F757C"/>
    <w:rsid w:val="006F7F04"/>
    <w:rsid w:val="007006FF"/>
    <w:rsid w:val="00700D35"/>
    <w:rsid w:val="00701FBB"/>
    <w:rsid w:val="0070298F"/>
    <w:rsid w:val="007029FC"/>
    <w:rsid w:val="0071587B"/>
    <w:rsid w:val="00717675"/>
    <w:rsid w:val="007203C5"/>
    <w:rsid w:val="00721103"/>
    <w:rsid w:val="007228C4"/>
    <w:rsid w:val="00723843"/>
    <w:rsid w:val="00725844"/>
    <w:rsid w:val="00725A7D"/>
    <w:rsid w:val="00726633"/>
    <w:rsid w:val="0072728C"/>
    <w:rsid w:val="0073085C"/>
    <w:rsid w:val="00733532"/>
    <w:rsid w:val="00733784"/>
    <w:rsid w:val="00735962"/>
    <w:rsid w:val="00737294"/>
    <w:rsid w:val="00740178"/>
    <w:rsid w:val="007408F1"/>
    <w:rsid w:val="00740BE8"/>
    <w:rsid w:val="0074112A"/>
    <w:rsid w:val="00741A53"/>
    <w:rsid w:val="0074301B"/>
    <w:rsid w:val="00744E0B"/>
    <w:rsid w:val="00744EEF"/>
    <w:rsid w:val="00745561"/>
    <w:rsid w:val="00746505"/>
    <w:rsid w:val="00752F26"/>
    <w:rsid w:val="00753CAC"/>
    <w:rsid w:val="00755608"/>
    <w:rsid w:val="007556BF"/>
    <w:rsid w:val="00756DB0"/>
    <w:rsid w:val="00756E75"/>
    <w:rsid w:val="00757DB7"/>
    <w:rsid w:val="007609EF"/>
    <w:rsid w:val="00762BE9"/>
    <w:rsid w:val="00764F2E"/>
    <w:rsid w:val="00765F71"/>
    <w:rsid w:val="00767257"/>
    <w:rsid w:val="00770388"/>
    <w:rsid w:val="00777CDD"/>
    <w:rsid w:val="007803FB"/>
    <w:rsid w:val="007807EE"/>
    <w:rsid w:val="00784FF0"/>
    <w:rsid w:val="00787F3E"/>
    <w:rsid w:val="00790BB3"/>
    <w:rsid w:val="00791662"/>
    <w:rsid w:val="00792043"/>
    <w:rsid w:val="00792997"/>
    <w:rsid w:val="00794BDF"/>
    <w:rsid w:val="0079785C"/>
    <w:rsid w:val="00797EDD"/>
    <w:rsid w:val="007A179D"/>
    <w:rsid w:val="007A3933"/>
    <w:rsid w:val="007A6ECE"/>
    <w:rsid w:val="007B0322"/>
    <w:rsid w:val="007B2941"/>
    <w:rsid w:val="007B6403"/>
    <w:rsid w:val="007C0E3F"/>
    <w:rsid w:val="007C206C"/>
    <w:rsid w:val="007C5729"/>
    <w:rsid w:val="007C6AF3"/>
    <w:rsid w:val="007D14B2"/>
    <w:rsid w:val="007D20F8"/>
    <w:rsid w:val="007D219D"/>
    <w:rsid w:val="007D22FC"/>
    <w:rsid w:val="007E0FE9"/>
    <w:rsid w:val="007E1AF3"/>
    <w:rsid w:val="007E4A39"/>
    <w:rsid w:val="007E7B75"/>
    <w:rsid w:val="007F07B8"/>
    <w:rsid w:val="007F3A25"/>
    <w:rsid w:val="007F4116"/>
    <w:rsid w:val="007F5660"/>
    <w:rsid w:val="007F78F0"/>
    <w:rsid w:val="0080047B"/>
    <w:rsid w:val="00802626"/>
    <w:rsid w:val="00802CD0"/>
    <w:rsid w:val="0080312B"/>
    <w:rsid w:val="00805BEF"/>
    <w:rsid w:val="008111E4"/>
    <w:rsid w:val="0081301C"/>
    <w:rsid w:val="00813925"/>
    <w:rsid w:val="008143E3"/>
    <w:rsid w:val="00817DD6"/>
    <w:rsid w:val="008224A1"/>
    <w:rsid w:val="00822F23"/>
    <w:rsid w:val="00825153"/>
    <w:rsid w:val="0082531C"/>
    <w:rsid w:val="00830C23"/>
    <w:rsid w:val="00831F16"/>
    <w:rsid w:val="00834720"/>
    <w:rsid w:val="00835CDF"/>
    <w:rsid w:val="00836904"/>
    <w:rsid w:val="00836A74"/>
    <w:rsid w:val="00845485"/>
    <w:rsid w:val="00846FE4"/>
    <w:rsid w:val="00851306"/>
    <w:rsid w:val="00855830"/>
    <w:rsid w:val="0085586D"/>
    <w:rsid w:val="008600EB"/>
    <w:rsid w:val="008604AD"/>
    <w:rsid w:val="00860D04"/>
    <w:rsid w:val="008629A9"/>
    <w:rsid w:val="00866960"/>
    <w:rsid w:val="008679C9"/>
    <w:rsid w:val="00881425"/>
    <w:rsid w:val="00884199"/>
    <w:rsid w:val="0088513A"/>
    <w:rsid w:val="00887494"/>
    <w:rsid w:val="00887BC2"/>
    <w:rsid w:val="008936A0"/>
    <w:rsid w:val="00893C19"/>
    <w:rsid w:val="00894D52"/>
    <w:rsid w:val="00897CCD"/>
    <w:rsid w:val="008A441C"/>
    <w:rsid w:val="008B341F"/>
    <w:rsid w:val="008B495F"/>
    <w:rsid w:val="008B6F49"/>
    <w:rsid w:val="008C0C36"/>
    <w:rsid w:val="008C2963"/>
    <w:rsid w:val="008C4AF3"/>
    <w:rsid w:val="008C4C61"/>
    <w:rsid w:val="008C6E91"/>
    <w:rsid w:val="008D00EC"/>
    <w:rsid w:val="008D5411"/>
    <w:rsid w:val="008D6C8D"/>
    <w:rsid w:val="008E034E"/>
    <w:rsid w:val="008E0F4D"/>
    <w:rsid w:val="008E1B2C"/>
    <w:rsid w:val="008E26F0"/>
    <w:rsid w:val="008E2B54"/>
    <w:rsid w:val="008E4404"/>
    <w:rsid w:val="008E4EB7"/>
    <w:rsid w:val="008E58C7"/>
    <w:rsid w:val="008F37D9"/>
    <w:rsid w:val="008F43AD"/>
    <w:rsid w:val="008F49F9"/>
    <w:rsid w:val="008F5021"/>
    <w:rsid w:val="0090106E"/>
    <w:rsid w:val="0090380A"/>
    <w:rsid w:val="00906BA9"/>
    <w:rsid w:val="009104F2"/>
    <w:rsid w:val="0091298A"/>
    <w:rsid w:val="00912DC5"/>
    <w:rsid w:val="00913445"/>
    <w:rsid w:val="009144F0"/>
    <w:rsid w:val="00914E77"/>
    <w:rsid w:val="009173BB"/>
    <w:rsid w:val="00921BE0"/>
    <w:rsid w:val="009275FF"/>
    <w:rsid w:val="00930F73"/>
    <w:rsid w:val="00933BEF"/>
    <w:rsid w:val="00933E73"/>
    <w:rsid w:val="00941626"/>
    <w:rsid w:val="00943573"/>
    <w:rsid w:val="00943F28"/>
    <w:rsid w:val="00944589"/>
    <w:rsid w:val="00944B49"/>
    <w:rsid w:val="00945016"/>
    <w:rsid w:val="00947523"/>
    <w:rsid w:val="00950F64"/>
    <w:rsid w:val="00955EDC"/>
    <w:rsid w:val="00960835"/>
    <w:rsid w:val="00962345"/>
    <w:rsid w:val="00964D58"/>
    <w:rsid w:val="00965481"/>
    <w:rsid w:val="00971B61"/>
    <w:rsid w:val="00972825"/>
    <w:rsid w:val="00972D54"/>
    <w:rsid w:val="0097428F"/>
    <w:rsid w:val="00975047"/>
    <w:rsid w:val="00976B49"/>
    <w:rsid w:val="009778C1"/>
    <w:rsid w:val="00980C31"/>
    <w:rsid w:val="009813B5"/>
    <w:rsid w:val="00985D19"/>
    <w:rsid w:val="00990708"/>
    <w:rsid w:val="00991052"/>
    <w:rsid w:val="009955FF"/>
    <w:rsid w:val="00996BF4"/>
    <w:rsid w:val="00996FC2"/>
    <w:rsid w:val="009A1444"/>
    <w:rsid w:val="009A149A"/>
    <w:rsid w:val="009A7562"/>
    <w:rsid w:val="009B2048"/>
    <w:rsid w:val="009B48D4"/>
    <w:rsid w:val="009B5791"/>
    <w:rsid w:val="009B5CB3"/>
    <w:rsid w:val="009B6B59"/>
    <w:rsid w:val="009B7174"/>
    <w:rsid w:val="009C2B53"/>
    <w:rsid w:val="009C2F6F"/>
    <w:rsid w:val="009C2FA1"/>
    <w:rsid w:val="009C4ECA"/>
    <w:rsid w:val="009C5A04"/>
    <w:rsid w:val="009D0B52"/>
    <w:rsid w:val="009D259D"/>
    <w:rsid w:val="009D4E9A"/>
    <w:rsid w:val="009D786C"/>
    <w:rsid w:val="009D7B11"/>
    <w:rsid w:val="009E000E"/>
    <w:rsid w:val="009F359F"/>
    <w:rsid w:val="009F417F"/>
    <w:rsid w:val="009F6CF7"/>
    <w:rsid w:val="009F6E6E"/>
    <w:rsid w:val="009F7A39"/>
    <w:rsid w:val="00A039D0"/>
    <w:rsid w:val="00A04046"/>
    <w:rsid w:val="00A045DF"/>
    <w:rsid w:val="00A050CE"/>
    <w:rsid w:val="00A06672"/>
    <w:rsid w:val="00A06852"/>
    <w:rsid w:val="00A07452"/>
    <w:rsid w:val="00A076E3"/>
    <w:rsid w:val="00A116D7"/>
    <w:rsid w:val="00A11D7A"/>
    <w:rsid w:val="00A11F21"/>
    <w:rsid w:val="00A121AF"/>
    <w:rsid w:val="00A12D8F"/>
    <w:rsid w:val="00A13AC1"/>
    <w:rsid w:val="00A15B2A"/>
    <w:rsid w:val="00A16155"/>
    <w:rsid w:val="00A21B78"/>
    <w:rsid w:val="00A23645"/>
    <w:rsid w:val="00A32612"/>
    <w:rsid w:val="00A37462"/>
    <w:rsid w:val="00A4193C"/>
    <w:rsid w:val="00A4454C"/>
    <w:rsid w:val="00A50D9D"/>
    <w:rsid w:val="00A51598"/>
    <w:rsid w:val="00A527B1"/>
    <w:rsid w:val="00A53000"/>
    <w:rsid w:val="00A53BD0"/>
    <w:rsid w:val="00A545C6"/>
    <w:rsid w:val="00A560D4"/>
    <w:rsid w:val="00A6003C"/>
    <w:rsid w:val="00A61191"/>
    <w:rsid w:val="00A630D4"/>
    <w:rsid w:val="00A64E91"/>
    <w:rsid w:val="00A652D0"/>
    <w:rsid w:val="00A706DF"/>
    <w:rsid w:val="00A7147C"/>
    <w:rsid w:val="00A725DC"/>
    <w:rsid w:val="00A73AE5"/>
    <w:rsid w:val="00A74B82"/>
    <w:rsid w:val="00A75F87"/>
    <w:rsid w:val="00A76975"/>
    <w:rsid w:val="00A7711E"/>
    <w:rsid w:val="00A81D02"/>
    <w:rsid w:val="00A81EFC"/>
    <w:rsid w:val="00A828E1"/>
    <w:rsid w:val="00A838CE"/>
    <w:rsid w:val="00A9425E"/>
    <w:rsid w:val="00A957F5"/>
    <w:rsid w:val="00A95D8B"/>
    <w:rsid w:val="00AA49CB"/>
    <w:rsid w:val="00AB0F91"/>
    <w:rsid w:val="00AB3073"/>
    <w:rsid w:val="00AB45E0"/>
    <w:rsid w:val="00AB46EB"/>
    <w:rsid w:val="00AB4E3B"/>
    <w:rsid w:val="00AB586A"/>
    <w:rsid w:val="00AB6EDD"/>
    <w:rsid w:val="00AB7BF5"/>
    <w:rsid w:val="00AC0270"/>
    <w:rsid w:val="00AC2515"/>
    <w:rsid w:val="00AC3276"/>
    <w:rsid w:val="00AC3EA3"/>
    <w:rsid w:val="00AC6047"/>
    <w:rsid w:val="00AC6C37"/>
    <w:rsid w:val="00AC792D"/>
    <w:rsid w:val="00AD2FAB"/>
    <w:rsid w:val="00AD331A"/>
    <w:rsid w:val="00AD7727"/>
    <w:rsid w:val="00AE11BA"/>
    <w:rsid w:val="00AE2D7E"/>
    <w:rsid w:val="00AE4310"/>
    <w:rsid w:val="00B02052"/>
    <w:rsid w:val="00B027C2"/>
    <w:rsid w:val="00B06773"/>
    <w:rsid w:val="00B11A0B"/>
    <w:rsid w:val="00B130F8"/>
    <w:rsid w:val="00B132AA"/>
    <w:rsid w:val="00B227D8"/>
    <w:rsid w:val="00B22A0B"/>
    <w:rsid w:val="00B25CF9"/>
    <w:rsid w:val="00B309E2"/>
    <w:rsid w:val="00B33137"/>
    <w:rsid w:val="00B35272"/>
    <w:rsid w:val="00B417C1"/>
    <w:rsid w:val="00B41E53"/>
    <w:rsid w:val="00B52D0C"/>
    <w:rsid w:val="00B55441"/>
    <w:rsid w:val="00B55670"/>
    <w:rsid w:val="00B61D9D"/>
    <w:rsid w:val="00B657B8"/>
    <w:rsid w:val="00B65ECC"/>
    <w:rsid w:val="00B66855"/>
    <w:rsid w:val="00B672BE"/>
    <w:rsid w:val="00B77292"/>
    <w:rsid w:val="00B808DC"/>
    <w:rsid w:val="00B817FA"/>
    <w:rsid w:val="00B83024"/>
    <w:rsid w:val="00B84920"/>
    <w:rsid w:val="00B8556A"/>
    <w:rsid w:val="00B85880"/>
    <w:rsid w:val="00B93648"/>
    <w:rsid w:val="00B95969"/>
    <w:rsid w:val="00B976BD"/>
    <w:rsid w:val="00BA0CCF"/>
    <w:rsid w:val="00BA140D"/>
    <w:rsid w:val="00BA1B3E"/>
    <w:rsid w:val="00BA7CDF"/>
    <w:rsid w:val="00BB09C5"/>
    <w:rsid w:val="00BB0B9F"/>
    <w:rsid w:val="00BB2F78"/>
    <w:rsid w:val="00BB4824"/>
    <w:rsid w:val="00BB7C09"/>
    <w:rsid w:val="00BC3BFB"/>
    <w:rsid w:val="00BC6831"/>
    <w:rsid w:val="00BD0783"/>
    <w:rsid w:val="00BD1029"/>
    <w:rsid w:val="00BD1AAD"/>
    <w:rsid w:val="00BD3197"/>
    <w:rsid w:val="00BD4E03"/>
    <w:rsid w:val="00BD5DA5"/>
    <w:rsid w:val="00BE2BD3"/>
    <w:rsid w:val="00BE35E0"/>
    <w:rsid w:val="00BE4E98"/>
    <w:rsid w:val="00BF33AA"/>
    <w:rsid w:val="00BF44D8"/>
    <w:rsid w:val="00BF5FFF"/>
    <w:rsid w:val="00C012A3"/>
    <w:rsid w:val="00C025AE"/>
    <w:rsid w:val="00C02E84"/>
    <w:rsid w:val="00C03449"/>
    <w:rsid w:val="00C03A3D"/>
    <w:rsid w:val="00C03D72"/>
    <w:rsid w:val="00C03FD5"/>
    <w:rsid w:val="00C10641"/>
    <w:rsid w:val="00C10F56"/>
    <w:rsid w:val="00C16F19"/>
    <w:rsid w:val="00C176FF"/>
    <w:rsid w:val="00C21E82"/>
    <w:rsid w:val="00C2417F"/>
    <w:rsid w:val="00C24BF5"/>
    <w:rsid w:val="00C33B50"/>
    <w:rsid w:val="00C3470C"/>
    <w:rsid w:val="00C41476"/>
    <w:rsid w:val="00C44A5D"/>
    <w:rsid w:val="00C50892"/>
    <w:rsid w:val="00C514CC"/>
    <w:rsid w:val="00C52A7B"/>
    <w:rsid w:val="00C52DE6"/>
    <w:rsid w:val="00C54098"/>
    <w:rsid w:val="00C57790"/>
    <w:rsid w:val="00C62F3E"/>
    <w:rsid w:val="00C6324C"/>
    <w:rsid w:val="00C649B0"/>
    <w:rsid w:val="00C6686A"/>
    <w:rsid w:val="00C679AA"/>
    <w:rsid w:val="00C67C7B"/>
    <w:rsid w:val="00C70027"/>
    <w:rsid w:val="00C724CF"/>
    <w:rsid w:val="00C74EBC"/>
    <w:rsid w:val="00C75744"/>
    <w:rsid w:val="00C75972"/>
    <w:rsid w:val="00C82792"/>
    <w:rsid w:val="00C82A8C"/>
    <w:rsid w:val="00C90200"/>
    <w:rsid w:val="00C91479"/>
    <w:rsid w:val="00C92499"/>
    <w:rsid w:val="00C92A04"/>
    <w:rsid w:val="00C92FA6"/>
    <w:rsid w:val="00C94102"/>
    <w:rsid w:val="00C94409"/>
    <w:rsid w:val="00C948FD"/>
    <w:rsid w:val="00C950B8"/>
    <w:rsid w:val="00C950DC"/>
    <w:rsid w:val="00CA01EC"/>
    <w:rsid w:val="00CA5306"/>
    <w:rsid w:val="00CB2C62"/>
    <w:rsid w:val="00CB43D5"/>
    <w:rsid w:val="00CB46E5"/>
    <w:rsid w:val="00CB57A5"/>
    <w:rsid w:val="00CB581E"/>
    <w:rsid w:val="00CC0664"/>
    <w:rsid w:val="00CC120D"/>
    <w:rsid w:val="00CC3091"/>
    <w:rsid w:val="00CC35B5"/>
    <w:rsid w:val="00CC76F9"/>
    <w:rsid w:val="00CC77F4"/>
    <w:rsid w:val="00CD066B"/>
    <w:rsid w:val="00CD1CC5"/>
    <w:rsid w:val="00CD3E15"/>
    <w:rsid w:val="00CD46E2"/>
    <w:rsid w:val="00CD5C79"/>
    <w:rsid w:val="00CE144C"/>
    <w:rsid w:val="00CE24D6"/>
    <w:rsid w:val="00CE3641"/>
    <w:rsid w:val="00CE36E3"/>
    <w:rsid w:val="00CE37AB"/>
    <w:rsid w:val="00CE3DD4"/>
    <w:rsid w:val="00CE4500"/>
    <w:rsid w:val="00CE5F3D"/>
    <w:rsid w:val="00CF07BA"/>
    <w:rsid w:val="00CF0B7D"/>
    <w:rsid w:val="00CF2895"/>
    <w:rsid w:val="00CF6F87"/>
    <w:rsid w:val="00D00D0B"/>
    <w:rsid w:val="00D04B69"/>
    <w:rsid w:val="00D05636"/>
    <w:rsid w:val="00D11B63"/>
    <w:rsid w:val="00D144C3"/>
    <w:rsid w:val="00D145B8"/>
    <w:rsid w:val="00D163B5"/>
    <w:rsid w:val="00D2477E"/>
    <w:rsid w:val="00D26FF7"/>
    <w:rsid w:val="00D27D34"/>
    <w:rsid w:val="00D31D29"/>
    <w:rsid w:val="00D3478C"/>
    <w:rsid w:val="00D366D6"/>
    <w:rsid w:val="00D37178"/>
    <w:rsid w:val="00D43130"/>
    <w:rsid w:val="00D4467C"/>
    <w:rsid w:val="00D45CF7"/>
    <w:rsid w:val="00D521B5"/>
    <w:rsid w:val="00D5310F"/>
    <w:rsid w:val="00D537FA"/>
    <w:rsid w:val="00D5547D"/>
    <w:rsid w:val="00D55801"/>
    <w:rsid w:val="00D55CAC"/>
    <w:rsid w:val="00D57886"/>
    <w:rsid w:val="00D57CD2"/>
    <w:rsid w:val="00D630C6"/>
    <w:rsid w:val="00D65FCD"/>
    <w:rsid w:val="00D66B1C"/>
    <w:rsid w:val="00D709B7"/>
    <w:rsid w:val="00D71E4C"/>
    <w:rsid w:val="00D734B7"/>
    <w:rsid w:val="00D8095B"/>
    <w:rsid w:val="00D80D99"/>
    <w:rsid w:val="00D81818"/>
    <w:rsid w:val="00D8289D"/>
    <w:rsid w:val="00D867AF"/>
    <w:rsid w:val="00D906A3"/>
    <w:rsid w:val="00D916B2"/>
    <w:rsid w:val="00D93B20"/>
    <w:rsid w:val="00D9484F"/>
    <w:rsid w:val="00D9503C"/>
    <w:rsid w:val="00D96335"/>
    <w:rsid w:val="00DA0480"/>
    <w:rsid w:val="00DA2B76"/>
    <w:rsid w:val="00DA38F7"/>
    <w:rsid w:val="00DA45FE"/>
    <w:rsid w:val="00DB3DBF"/>
    <w:rsid w:val="00DB42C6"/>
    <w:rsid w:val="00DB7BBE"/>
    <w:rsid w:val="00DC15A1"/>
    <w:rsid w:val="00DC1ECA"/>
    <w:rsid w:val="00DC6178"/>
    <w:rsid w:val="00DD0769"/>
    <w:rsid w:val="00DD0A75"/>
    <w:rsid w:val="00DD1743"/>
    <w:rsid w:val="00DD1F48"/>
    <w:rsid w:val="00DD73EF"/>
    <w:rsid w:val="00DE23E8"/>
    <w:rsid w:val="00DE371F"/>
    <w:rsid w:val="00DE3B8B"/>
    <w:rsid w:val="00DE4236"/>
    <w:rsid w:val="00DE64A0"/>
    <w:rsid w:val="00DE7427"/>
    <w:rsid w:val="00DF0835"/>
    <w:rsid w:val="00DF2FFA"/>
    <w:rsid w:val="00DF333D"/>
    <w:rsid w:val="00DF5972"/>
    <w:rsid w:val="00DF7A85"/>
    <w:rsid w:val="00E0128B"/>
    <w:rsid w:val="00E01360"/>
    <w:rsid w:val="00E01872"/>
    <w:rsid w:val="00E01D72"/>
    <w:rsid w:val="00E02596"/>
    <w:rsid w:val="00E0387A"/>
    <w:rsid w:val="00E100AD"/>
    <w:rsid w:val="00E140AE"/>
    <w:rsid w:val="00E21887"/>
    <w:rsid w:val="00E22AB4"/>
    <w:rsid w:val="00E2319E"/>
    <w:rsid w:val="00E23529"/>
    <w:rsid w:val="00E2368B"/>
    <w:rsid w:val="00E27971"/>
    <w:rsid w:val="00E27AC4"/>
    <w:rsid w:val="00E300FF"/>
    <w:rsid w:val="00E338AD"/>
    <w:rsid w:val="00E34138"/>
    <w:rsid w:val="00E354DE"/>
    <w:rsid w:val="00E452D3"/>
    <w:rsid w:val="00E455FE"/>
    <w:rsid w:val="00E45F78"/>
    <w:rsid w:val="00E4785E"/>
    <w:rsid w:val="00E47D1F"/>
    <w:rsid w:val="00E503D9"/>
    <w:rsid w:val="00E5048D"/>
    <w:rsid w:val="00E523EA"/>
    <w:rsid w:val="00E55490"/>
    <w:rsid w:val="00E55CBA"/>
    <w:rsid w:val="00E56784"/>
    <w:rsid w:val="00E57E9C"/>
    <w:rsid w:val="00E605D6"/>
    <w:rsid w:val="00E618CE"/>
    <w:rsid w:val="00E622A8"/>
    <w:rsid w:val="00E62342"/>
    <w:rsid w:val="00E63C26"/>
    <w:rsid w:val="00E64E17"/>
    <w:rsid w:val="00E768C9"/>
    <w:rsid w:val="00E82F7B"/>
    <w:rsid w:val="00E83BF3"/>
    <w:rsid w:val="00E8470A"/>
    <w:rsid w:val="00E851B8"/>
    <w:rsid w:val="00E909BA"/>
    <w:rsid w:val="00E91F24"/>
    <w:rsid w:val="00E9234F"/>
    <w:rsid w:val="00E93313"/>
    <w:rsid w:val="00E947B1"/>
    <w:rsid w:val="00E9693E"/>
    <w:rsid w:val="00EA27E3"/>
    <w:rsid w:val="00EA33D3"/>
    <w:rsid w:val="00EA3D3C"/>
    <w:rsid w:val="00EB3D73"/>
    <w:rsid w:val="00EB4321"/>
    <w:rsid w:val="00EB54D2"/>
    <w:rsid w:val="00EB6140"/>
    <w:rsid w:val="00EB7ABD"/>
    <w:rsid w:val="00EC1529"/>
    <w:rsid w:val="00EC2BF1"/>
    <w:rsid w:val="00EC3C1D"/>
    <w:rsid w:val="00EC441F"/>
    <w:rsid w:val="00EC790C"/>
    <w:rsid w:val="00EC7CC3"/>
    <w:rsid w:val="00ED1475"/>
    <w:rsid w:val="00ED1C0B"/>
    <w:rsid w:val="00ED5186"/>
    <w:rsid w:val="00ED59E8"/>
    <w:rsid w:val="00EE3203"/>
    <w:rsid w:val="00EE6CEB"/>
    <w:rsid w:val="00EF292F"/>
    <w:rsid w:val="00EF5CE6"/>
    <w:rsid w:val="00F028C0"/>
    <w:rsid w:val="00F11A40"/>
    <w:rsid w:val="00F11FED"/>
    <w:rsid w:val="00F126C6"/>
    <w:rsid w:val="00F12CB8"/>
    <w:rsid w:val="00F17D16"/>
    <w:rsid w:val="00F17E22"/>
    <w:rsid w:val="00F20867"/>
    <w:rsid w:val="00F241E2"/>
    <w:rsid w:val="00F24558"/>
    <w:rsid w:val="00F25230"/>
    <w:rsid w:val="00F2591B"/>
    <w:rsid w:val="00F27673"/>
    <w:rsid w:val="00F34DFE"/>
    <w:rsid w:val="00F376D2"/>
    <w:rsid w:val="00F4219C"/>
    <w:rsid w:val="00F422C4"/>
    <w:rsid w:val="00F43A0C"/>
    <w:rsid w:val="00F452BE"/>
    <w:rsid w:val="00F45965"/>
    <w:rsid w:val="00F45F6E"/>
    <w:rsid w:val="00F46494"/>
    <w:rsid w:val="00F470A9"/>
    <w:rsid w:val="00F503F1"/>
    <w:rsid w:val="00F51A9D"/>
    <w:rsid w:val="00F533A0"/>
    <w:rsid w:val="00F54FC0"/>
    <w:rsid w:val="00F5535D"/>
    <w:rsid w:val="00F558AB"/>
    <w:rsid w:val="00F56C13"/>
    <w:rsid w:val="00F61150"/>
    <w:rsid w:val="00F615BA"/>
    <w:rsid w:val="00F61D89"/>
    <w:rsid w:val="00F666C6"/>
    <w:rsid w:val="00F66795"/>
    <w:rsid w:val="00F700B3"/>
    <w:rsid w:val="00F81082"/>
    <w:rsid w:val="00F84BA7"/>
    <w:rsid w:val="00F86ABB"/>
    <w:rsid w:val="00F87C43"/>
    <w:rsid w:val="00F91262"/>
    <w:rsid w:val="00F91762"/>
    <w:rsid w:val="00F91B58"/>
    <w:rsid w:val="00F91BD5"/>
    <w:rsid w:val="00F92737"/>
    <w:rsid w:val="00F93164"/>
    <w:rsid w:val="00F952E5"/>
    <w:rsid w:val="00FA2CD5"/>
    <w:rsid w:val="00FA348E"/>
    <w:rsid w:val="00FB3CC2"/>
    <w:rsid w:val="00FB4DAE"/>
    <w:rsid w:val="00FB53C7"/>
    <w:rsid w:val="00FC2AE7"/>
    <w:rsid w:val="00FC48CF"/>
    <w:rsid w:val="00FC4953"/>
    <w:rsid w:val="00FC510B"/>
    <w:rsid w:val="00FC597A"/>
    <w:rsid w:val="00FD2F2F"/>
    <w:rsid w:val="00FD37A4"/>
    <w:rsid w:val="00FD6EDC"/>
    <w:rsid w:val="00FD7648"/>
    <w:rsid w:val="00FD782D"/>
    <w:rsid w:val="00FE3786"/>
    <w:rsid w:val="00FE3F62"/>
    <w:rsid w:val="00FE6249"/>
    <w:rsid w:val="00FE6E23"/>
    <w:rsid w:val="00FE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73"/>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styleId="Bibliography">
    <w:name w:val="Bibliography"/>
    <w:basedOn w:val="Normal"/>
    <w:next w:val="Normal"/>
    <w:uiPriority w:val="37"/>
    <w:unhideWhenUsed/>
    <w:rsid w:val="005926A0"/>
    <w:pPr>
      <w:spacing w:after="0" w:line="480" w:lineRule="auto"/>
      <w:ind w:left="720" w:hanging="720"/>
    </w:pPr>
  </w:style>
  <w:style w:type="character" w:styleId="UnresolvedMention">
    <w:name w:val="Unresolved Mention"/>
    <w:basedOn w:val="DefaultParagraphFont"/>
    <w:uiPriority w:val="99"/>
    <w:semiHidden/>
    <w:unhideWhenUsed/>
    <w:rsid w:val="00E02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3658510">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collins@monash.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1FBB1E-A118-408D-B122-5F44173C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416</TotalTime>
  <Pages>16</Pages>
  <Words>17999</Words>
  <Characters>102597</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Collins</dc:creator>
  <cp:keywords/>
  <dc:description/>
  <cp:lastModifiedBy>Francesca Collins</cp:lastModifiedBy>
  <cp:revision>274</cp:revision>
  <cp:lastPrinted>2020-07-31T11:33:00Z</cp:lastPrinted>
  <dcterms:created xsi:type="dcterms:W3CDTF">2020-07-30T05:10:00Z</dcterms:created>
  <dcterms:modified xsi:type="dcterms:W3CDTF">2020-07-31T11:42:00Z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id="C4I92SNa"/&gt;&lt;style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