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0A5" w:rsidRDefault="005F70A5" w:rsidP="007109A4">
      <w:pPr>
        <w:tabs>
          <w:tab w:val="right" w:pos="10466"/>
        </w:tabs>
        <w:spacing w:line="240" w:lineRule="auto"/>
        <w:rPr>
          <w:rStyle w:val="TitleChar"/>
        </w:rPr>
      </w:pPr>
      <w:r>
        <w:rPr>
          <w:rStyle w:val="TitleChar"/>
        </w:rPr>
        <w:t>Research Challenge Problem Definition</w:t>
      </w:r>
      <w:r w:rsidR="007109A4">
        <w:rPr>
          <w:rStyle w:val="TitleChar"/>
        </w:rPr>
        <w:tab/>
        <w:t xml:space="preserve">No. </w:t>
      </w:r>
      <w:r w:rsidR="007109A4">
        <w:rPr>
          <w:rStyle w:val="TitleChar"/>
        </w:rPr>
        <w:t>4</w:t>
      </w:r>
      <w:bookmarkStart w:id="0" w:name="_GoBack"/>
      <w:bookmarkEnd w:id="0"/>
    </w:p>
    <w:p w:rsidR="007563AC" w:rsidRPr="007563AC" w:rsidRDefault="007563AC" w:rsidP="00C4461D">
      <w:pPr>
        <w:spacing w:line="240" w:lineRule="auto"/>
        <w:rPr>
          <w:rStyle w:val="TitleChar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F70A5" w:rsidTr="005F70A5">
        <w:tc>
          <w:tcPr>
            <w:tcW w:w="10456" w:type="dxa"/>
            <w:tcBorders>
              <w:bottom w:val="single" w:sz="4" w:space="0" w:color="auto"/>
            </w:tcBorders>
          </w:tcPr>
          <w:p w:rsidR="005F70A5" w:rsidRDefault="005F70A5" w:rsidP="00C4461D">
            <w:pPr>
              <w:spacing w:line="480" w:lineRule="auto"/>
            </w:pPr>
            <w:r>
              <w:rPr>
                <w:b/>
                <w:bCs/>
              </w:rPr>
              <w:t>Problem</w:t>
            </w:r>
            <w:r w:rsidRPr="005520CC">
              <w:rPr>
                <w:b/>
                <w:bCs/>
              </w:rPr>
              <w:t xml:space="preserve"> Title: </w:t>
            </w:r>
            <w:r>
              <w:rPr>
                <w:b/>
                <w:bCs/>
              </w:rPr>
              <w:t>(</w:t>
            </w:r>
            <w:r w:rsidRPr="005F70A5">
              <w:rPr>
                <w:lang w:val="en-US"/>
              </w:rPr>
              <w:t>One Sentence description of the challenge</w:t>
            </w:r>
            <w:r>
              <w:rPr>
                <w:b/>
                <w:bCs/>
              </w:rPr>
              <w:t>)</w:t>
            </w:r>
          </w:p>
        </w:tc>
      </w:tr>
      <w:tr w:rsidR="005F70A5" w:rsidTr="005F70A5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A5" w:rsidRDefault="00E53448" w:rsidP="00E53448">
            <w:r>
              <w:t xml:space="preserve">How can technology support information platform for personalised healthcare? </w:t>
            </w:r>
          </w:p>
          <w:p w:rsidR="00C4461D" w:rsidRDefault="00C4461D" w:rsidP="005F70A5"/>
        </w:tc>
      </w:tr>
      <w:tr w:rsidR="005F70A5" w:rsidTr="005F70A5"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:rsidR="00C4461D" w:rsidRDefault="00C4461D" w:rsidP="005F70A5">
            <w:pPr>
              <w:rPr>
                <w:b/>
                <w:bCs/>
                <w:lang w:val="en-US"/>
              </w:rPr>
            </w:pPr>
          </w:p>
          <w:p w:rsidR="005F70A5" w:rsidRPr="005F70A5" w:rsidRDefault="005F70A5" w:rsidP="005F70A5">
            <w:r w:rsidRPr="005F70A5">
              <w:rPr>
                <w:b/>
                <w:bCs/>
                <w:lang w:val="en-US"/>
              </w:rPr>
              <w:t>Background:</w:t>
            </w:r>
            <w:r w:rsidRPr="005F70A5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Pr="005F70A5">
              <w:rPr>
                <w:lang w:val="en-US"/>
              </w:rPr>
              <w:t>4-5 sentences providing a general description of the problem to be solved. Why is it important?</w:t>
            </w:r>
            <w:r>
              <w:rPr>
                <w:lang w:val="en-US"/>
              </w:rPr>
              <w:t>)</w:t>
            </w:r>
          </w:p>
          <w:p w:rsidR="005F70A5" w:rsidRDefault="005F70A5" w:rsidP="005F70A5"/>
        </w:tc>
      </w:tr>
      <w:tr w:rsidR="005F70A5" w:rsidTr="005F70A5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A5" w:rsidRDefault="005F70A5" w:rsidP="005F70A5"/>
          <w:p w:rsidR="00210E43" w:rsidRPr="008E6A76" w:rsidRDefault="00E53448" w:rsidP="001721F5">
            <w:r w:rsidRPr="008E6A76">
              <w:t xml:space="preserve">Ubiquitous access to information and communication technology has potential to impact the way healthcare is delivered to the population of Australia.  </w:t>
            </w:r>
            <w:r w:rsidRPr="008E6A76">
              <w:rPr>
                <w:rFonts w:cs="Segoe UI"/>
                <w:color w:val="333333"/>
                <w:lang w:val="en"/>
              </w:rPr>
              <w:t>My Health Record is an integral part of</w:t>
            </w:r>
            <w:r w:rsidRPr="008E6A76">
              <w:t xml:space="preserve"> the myGov.com.au </w:t>
            </w:r>
            <w:proofErr w:type="spellStart"/>
            <w:r w:rsidRPr="008E6A76">
              <w:t>eGovernment</w:t>
            </w:r>
            <w:proofErr w:type="spellEnd"/>
            <w:r w:rsidRPr="008E6A76">
              <w:t xml:space="preserve"> initiative which underpins </w:t>
            </w:r>
            <w:r w:rsidR="00121CDE" w:rsidRPr="008E6A76">
              <w:t>…[</w:t>
            </w:r>
            <w:r w:rsidR="00121CDE" w:rsidRPr="008E6A76">
              <w:rPr>
                <w:rFonts w:cs="Segoe UI"/>
                <w:color w:val="333333"/>
                <w:lang w:val="en"/>
              </w:rPr>
              <w:t>A] simple and secure way to access government online services” (</w:t>
            </w:r>
            <w:hyperlink r:id="rId7" w:history="1">
              <w:r w:rsidR="00121CDE" w:rsidRPr="008E6A76">
                <w:rPr>
                  <w:rStyle w:val="Hyperlink"/>
                  <w:rFonts w:cs="Segoe UI"/>
                  <w:lang w:val="en"/>
                </w:rPr>
                <w:t>https://my.gov.au/LoginServices/main/login?execution=e2s1</w:t>
              </w:r>
            </w:hyperlink>
            <w:r w:rsidR="00121CDE" w:rsidRPr="008E6A76">
              <w:rPr>
                <w:rFonts w:cs="Segoe UI"/>
                <w:color w:val="333333"/>
                <w:lang w:val="en"/>
              </w:rPr>
              <w:t xml:space="preserve">). Through </w:t>
            </w:r>
            <w:r w:rsidRPr="008E6A76">
              <w:t xml:space="preserve">implementation </w:t>
            </w:r>
            <w:r w:rsidR="00210E43" w:rsidRPr="008E6A76">
              <w:t xml:space="preserve">of such infrastructure </w:t>
            </w:r>
            <w:r w:rsidR="00121CDE" w:rsidRPr="008E6A76">
              <w:t>a</w:t>
            </w:r>
            <w:r w:rsidRPr="008E6A76">
              <w:t xml:space="preserve"> fully connected, integrated healthcare records </w:t>
            </w:r>
            <w:r w:rsidR="00121CDE" w:rsidRPr="008E6A76">
              <w:t>can be created</w:t>
            </w:r>
            <w:r w:rsidRPr="008E6A76">
              <w:t xml:space="preserve">, </w:t>
            </w:r>
            <w:r w:rsidR="00121CDE" w:rsidRPr="008E6A76">
              <w:t>managed</w:t>
            </w:r>
            <w:r w:rsidRPr="008E6A76">
              <w:t xml:space="preserve"> and </w:t>
            </w:r>
            <w:r w:rsidR="00121CDE" w:rsidRPr="008E6A76">
              <w:t>shared among</w:t>
            </w:r>
            <w:r w:rsidR="00210E43" w:rsidRPr="008E6A76">
              <w:t xml:space="preserve"> various agencies and healthcare practitioners when it comes to provide services in a “patient- centred” way. </w:t>
            </w:r>
            <w:r w:rsidRPr="008E6A76">
              <w:t xml:space="preserve"> </w:t>
            </w:r>
            <w:r w:rsidR="00210E43" w:rsidRPr="008E6A76">
              <w:t xml:space="preserve">The opportunities stemming implementation of nation-wide electronic health records is hard to underestimate. </w:t>
            </w:r>
            <w:r w:rsidR="001721F5" w:rsidRPr="008E6A76">
              <w:t>It ranges from saving time on hospital administrative data management, better communication between healthcare agencies, to a potential of using this data for a large-scale clinical and epidemiological research. So why does not Australia have a fully-functional electronic personal health record?</w:t>
            </w:r>
          </w:p>
          <w:p w:rsidR="001721F5" w:rsidRPr="008E6A76" w:rsidRDefault="001721F5" w:rsidP="001721F5"/>
          <w:p w:rsidR="001721F5" w:rsidRPr="008E6A76" w:rsidRDefault="001721F5" w:rsidP="0016297F">
            <w:r w:rsidRPr="008E6A76">
              <w:t xml:space="preserve">The establishment of the Australian Digital Health Agency (the Agency) </w:t>
            </w:r>
            <w:r w:rsidR="0016297F" w:rsidRPr="008E6A76">
              <w:t xml:space="preserve">in July 2016 </w:t>
            </w:r>
            <w:r w:rsidRPr="008E6A76">
              <w:t xml:space="preserve">provides a new </w:t>
            </w:r>
            <w:r w:rsidR="0016297F" w:rsidRPr="008E6A76">
              <w:t xml:space="preserve">mechanism to drive the personalised health agenda through </w:t>
            </w:r>
            <w:r w:rsidRPr="008E6A76">
              <w:t xml:space="preserve"> </w:t>
            </w:r>
            <w:r w:rsidR="0016297F" w:rsidRPr="008E6A76">
              <w:t xml:space="preserve">“…focusing on connecting people and information from general practice, community pharmacy, diagnostic imaging, pathology and hospitals” </w:t>
            </w:r>
            <w:hyperlink r:id="rId8" w:history="1">
              <w:r w:rsidR="0016297F" w:rsidRPr="008E6A76">
                <w:rPr>
                  <w:rStyle w:val="Hyperlink"/>
                </w:rPr>
                <w:t>(https://www.digitalhealth.gov.au/about-the-agency</w:t>
              </w:r>
            </w:hyperlink>
            <w:r w:rsidR="0016297F" w:rsidRPr="008E6A76">
              <w:t>)</w:t>
            </w:r>
          </w:p>
          <w:p w:rsidR="001721F5" w:rsidRPr="008E6A76" w:rsidRDefault="001721F5" w:rsidP="001721F5"/>
          <w:p w:rsidR="00C4461D" w:rsidRPr="008E6A76" w:rsidRDefault="00210E43" w:rsidP="00210E43">
            <w:r w:rsidRPr="008E6A76">
              <w:t xml:space="preserve">The technical solution for such an infrastructure has been proposed for Australian population for over a decade, however, it is still has not been fully implemented and widely adopted by either patients, or patients. Moreover, there are recent examples, when recording of </w:t>
            </w:r>
            <w:proofErr w:type="spellStart"/>
            <w:r w:rsidRPr="008E6A76">
              <w:t>medicare</w:t>
            </w:r>
            <w:proofErr w:type="spellEnd"/>
            <w:r w:rsidRPr="008E6A76">
              <w:t xml:space="preserve"> numbers on-line created privacy and security threats for large numbers of Australians (see </w:t>
            </w:r>
            <w:hyperlink r:id="rId9" w:history="1">
              <w:r w:rsidRPr="008E6A76">
                <w:rPr>
                  <w:rStyle w:val="Hyperlink"/>
                </w:rPr>
                <w:t>http://www.abc.net.au/news/2017-07-04/tudge-calls-for-afp-to-investigate-medicare-card-numbers-dark-w/8676678</w:t>
              </w:r>
            </w:hyperlink>
            <w:r w:rsidRPr="008E6A76">
              <w:t xml:space="preserve">). </w:t>
            </w:r>
          </w:p>
          <w:p w:rsidR="00C4461D" w:rsidRPr="008E6A76" w:rsidRDefault="00C4461D" w:rsidP="005F70A5"/>
          <w:p w:rsidR="00C4461D" w:rsidRPr="008E6A76" w:rsidRDefault="001721F5" w:rsidP="005F70A5">
            <w:r w:rsidRPr="008E6A76">
              <w:t xml:space="preserve">There are a number of other socio-technical problems associated with this problem. </w:t>
            </w:r>
          </w:p>
          <w:p w:rsidR="00C4461D" w:rsidRPr="008E6A76" w:rsidRDefault="00C4461D" w:rsidP="005F70A5"/>
          <w:p w:rsidR="00C4461D" w:rsidRDefault="00C4461D" w:rsidP="005F70A5"/>
        </w:tc>
      </w:tr>
      <w:tr w:rsidR="005F70A5" w:rsidTr="005F70A5">
        <w:tc>
          <w:tcPr>
            <w:tcW w:w="10456" w:type="dxa"/>
            <w:tcBorders>
              <w:top w:val="single" w:sz="4" w:space="0" w:color="auto"/>
              <w:bottom w:val="single" w:sz="4" w:space="0" w:color="auto"/>
            </w:tcBorders>
          </w:tcPr>
          <w:p w:rsidR="00C4461D" w:rsidRDefault="00C4461D" w:rsidP="005F70A5">
            <w:pPr>
              <w:rPr>
                <w:b/>
                <w:bCs/>
                <w:lang w:val="en-US"/>
              </w:rPr>
            </w:pPr>
          </w:p>
          <w:p w:rsidR="005F70A5" w:rsidRDefault="005F70A5" w:rsidP="00C4461D">
            <w:pPr>
              <w:rPr>
                <w:lang w:val="en-US"/>
              </w:rPr>
            </w:pPr>
            <w:r w:rsidRPr="005F70A5">
              <w:rPr>
                <w:b/>
                <w:bCs/>
                <w:lang w:val="en-US"/>
              </w:rPr>
              <w:t>Boundaries:</w:t>
            </w:r>
            <w:r w:rsidRPr="005F70A5">
              <w:rPr>
                <w:lang w:val="en-US"/>
              </w:rPr>
              <w:t xml:space="preserve"> </w:t>
            </w:r>
            <w:r w:rsidR="00C4461D">
              <w:rPr>
                <w:lang w:val="en-US"/>
              </w:rPr>
              <w:t>(</w:t>
            </w:r>
            <w:r w:rsidRPr="005F70A5">
              <w:rPr>
                <w:lang w:val="en-US"/>
              </w:rPr>
              <w:t xml:space="preserve">Used to define </w:t>
            </w:r>
            <w:r w:rsidR="00C4461D">
              <w:rPr>
                <w:lang w:val="en-US"/>
              </w:rPr>
              <w:t xml:space="preserve">constraints </w:t>
            </w:r>
            <w:r w:rsidRPr="005F70A5">
              <w:rPr>
                <w:lang w:val="en-US"/>
              </w:rPr>
              <w:t xml:space="preserve">for the </w:t>
            </w:r>
            <w:r w:rsidR="00C4461D">
              <w:rPr>
                <w:lang w:val="en-US"/>
              </w:rPr>
              <w:t xml:space="preserve">project. For example: </w:t>
            </w:r>
            <w:r w:rsidRPr="005F70A5">
              <w:rPr>
                <w:lang w:val="en-US"/>
              </w:rPr>
              <w:t>Describe technical thresholds that maybe desirable</w:t>
            </w:r>
            <w:r w:rsidR="00C4461D">
              <w:rPr>
                <w:lang w:val="en-US"/>
              </w:rPr>
              <w:t>; e</w:t>
            </w:r>
            <w:r w:rsidR="00C4461D" w:rsidRPr="005F70A5">
              <w:rPr>
                <w:lang w:val="en-US"/>
              </w:rPr>
              <w:t>nvironmental</w:t>
            </w:r>
            <w:r w:rsidRPr="005F70A5">
              <w:rPr>
                <w:lang w:val="en-US"/>
              </w:rPr>
              <w:t xml:space="preserve"> conditions to consider</w:t>
            </w:r>
            <w:r w:rsidR="00C4461D">
              <w:rPr>
                <w:lang w:val="en-US"/>
              </w:rPr>
              <w:t>; t</w:t>
            </w:r>
            <w:r w:rsidRPr="005F70A5">
              <w:rPr>
                <w:lang w:val="en-US"/>
              </w:rPr>
              <w:t>echnologies that might be relevant</w:t>
            </w:r>
            <w:r w:rsidR="00C4461D">
              <w:rPr>
                <w:lang w:val="en-US"/>
              </w:rPr>
              <w:t xml:space="preserve">; </w:t>
            </w:r>
            <w:r w:rsidRPr="005F70A5">
              <w:rPr>
                <w:lang w:val="en-US"/>
              </w:rPr>
              <w:t>Other clarifying information</w:t>
            </w:r>
            <w:r w:rsidR="00C4461D">
              <w:rPr>
                <w:lang w:val="en-US"/>
              </w:rPr>
              <w:t>.)</w:t>
            </w:r>
          </w:p>
          <w:p w:rsidR="005F70A5" w:rsidRDefault="005F70A5" w:rsidP="005F70A5"/>
        </w:tc>
      </w:tr>
      <w:tr w:rsidR="005F70A5" w:rsidTr="005F70A5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0A5" w:rsidRDefault="005F70A5" w:rsidP="005F70A5">
            <w:pPr>
              <w:rPr>
                <w:lang w:val="en-US"/>
              </w:rPr>
            </w:pPr>
          </w:p>
          <w:p w:rsidR="0016297F" w:rsidRDefault="001721F5" w:rsidP="0016297F">
            <w:pPr>
              <w:rPr>
                <w:lang w:val="en-US"/>
              </w:rPr>
            </w:pPr>
            <w:r>
              <w:rPr>
                <w:lang w:val="en-US"/>
              </w:rPr>
              <w:t xml:space="preserve">The teams may like to </w:t>
            </w:r>
            <w:r w:rsidR="0016297F">
              <w:rPr>
                <w:lang w:val="en-US"/>
              </w:rPr>
              <w:t xml:space="preserve">define which dimensions of the identified problem they can address considering the time and a skill-set available to the team; </w:t>
            </w:r>
          </w:p>
          <w:p w:rsidR="0016297F" w:rsidRDefault="0016297F" w:rsidP="0016297F">
            <w:pPr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="001721F5">
              <w:rPr>
                <w:lang w:val="en-US"/>
              </w:rPr>
              <w:t xml:space="preserve">review </w:t>
            </w:r>
            <w:r>
              <w:rPr>
                <w:lang w:val="en-US"/>
              </w:rPr>
              <w:t xml:space="preserve">of </w:t>
            </w:r>
            <w:r w:rsidR="001721F5">
              <w:rPr>
                <w:lang w:val="en-US"/>
              </w:rPr>
              <w:t xml:space="preserve">what are the World best practice in this field and the extent to which </w:t>
            </w:r>
            <w:r>
              <w:rPr>
                <w:lang w:val="en-US"/>
              </w:rPr>
              <w:t xml:space="preserve">it can inform the proposed solution may be undertaken </w:t>
            </w:r>
          </w:p>
          <w:p w:rsidR="00C4461D" w:rsidRDefault="0016297F" w:rsidP="0016297F">
            <w:pPr>
              <w:rPr>
                <w:lang w:val="en-US"/>
              </w:rPr>
            </w:pPr>
            <w:r>
              <w:rPr>
                <w:lang w:val="en-US"/>
              </w:rPr>
              <w:t xml:space="preserve">It is not expected that the proposed solution will be totally innovative, instead there should be a full recognition to what are the existing or forthcoming development in Digital Health and Australian </w:t>
            </w:r>
            <w:proofErr w:type="spellStart"/>
            <w:r>
              <w:rPr>
                <w:lang w:val="en-US"/>
              </w:rPr>
              <w:t>eGov</w:t>
            </w:r>
            <w:proofErr w:type="spellEnd"/>
            <w:r>
              <w:rPr>
                <w:lang w:val="en-US"/>
              </w:rPr>
              <w:t xml:space="preserve"> agenda which the proposed solution can be driven from.</w:t>
            </w:r>
          </w:p>
          <w:p w:rsidR="00306717" w:rsidRDefault="0016297F" w:rsidP="005F70A5">
            <w:pPr>
              <w:rPr>
                <w:lang w:val="en-US"/>
              </w:rPr>
            </w:pPr>
            <w:r>
              <w:rPr>
                <w:lang w:val="en-US"/>
              </w:rPr>
              <w:t>A critical evaluation of the proposed implementation architecture from the perspective of the cutting-age computing research would be a very valuable outcome of this challenge.</w:t>
            </w:r>
            <w:r w:rsidR="00306717">
              <w:rPr>
                <w:lang w:val="en-US"/>
              </w:rPr>
              <w:t xml:space="preserve">  </w:t>
            </w:r>
          </w:p>
          <w:p w:rsidR="00C4461D" w:rsidRPr="005F70A5" w:rsidRDefault="00306717" w:rsidP="005F70A5">
            <w:pPr>
              <w:rPr>
                <w:lang w:val="en-US"/>
              </w:rPr>
            </w:pPr>
            <w:r>
              <w:rPr>
                <w:lang w:val="en-US"/>
              </w:rPr>
              <w:t xml:space="preserve">The group should also clearly spell out who will be the main beneficiary of their research. </w:t>
            </w:r>
          </w:p>
        </w:tc>
      </w:tr>
    </w:tbl>
    <w:p w:rsidR="005F70A5" w:rsidRPr="005F70A5" w:rsidRDefault="005F70A5" w:rsidP="005F70A5"/>
    <w:p w:rsidR="00871111" w:rsidRDefault="00C4461D" w:rsidP="00D34DEC">
      <w:r>
        <w:t>I</w:t>
      </w:r>
      <w:r w:rsidR="00871111">
        <w:t xml:space="preserve"> understand and agree to the following:</w:t>
      </w:r>
    </w:p>
    <w:p w:rsidR="00871111" w:rsidRDefault="00871111" w:rsidP="00C4461D">
      <w:pPr>
        <w:pStyle w:val="ListParagraph"/>
        <w:numPr>
          <w:ilvl w:val="0"/>
          <w:numId w:val="1"/>
        </w:numPr>
      </w:pPr>
      <w:r>
        <w:t>Teams will have two hours to develop a research proposal that addresses the research topic</w:t>
      </w:r>
      <w:r w:rsidR="00522D1E">
        <w:t xml:space="preserve"> as defined</w:t>
      </w:r>
      <w:r w:rsidR="005520CC">
        <w:t xml:space="preserve"> </w:t>
      </w:r>
      <w:r w:rsidR="00C4461D">
        <w:t xml:space="preserve">in this </w:t>
      </w:r>
      <w:r w:rsidR="00522D1E" w:rsidRPr="005520CC">
        <w:rPr>
          <w:i/>
          <w:iCs/>
        </w:rPr>
        <w:t xml:space="preserve">Research </w:t>
      </w:r>
      <w:r w:rsidR="005520CC">
        <w:rPr>
          <w:i/>
          <w:iCs/>
        </w:rPr>
        <w:t xml:space="preserve">Challenge </w:t>
      </w:r>
      <w:r w:rsidR="00522D1E" w:rsidRPr="005520CC">
        <w:rPr>
          <w:i/>
          <w:iCs/>
        </w:rPr>
        <w:t>Problem Definition</w:t>
      </w:r>
      <w:r>
        <w:t>.</w:t>
      </w:r>
    </w:p>
    <w:p w:rsidR="00871111" w:rsidRDefault="00871111" w:rsidP="00871111">
      <w:pPr>
        <w:pStyle w:val="ListParagraph"/>
        <w:numPr>
          <w:ilvl w:val="0"/>
          <w:numId w:val="1"/>
        </w:numPr>
      </w:pPr>
      <w:r>
        <w:t>Each team will then deliver a three minute presentation on their proposal.  If overhead slides are used, such slides must be in PowerPoint format.  The presentations will be recorded.</w:t>
      </w:r>
    </w:p>
    <w:p w:rsidR="00871111" w:rsidRDefault="00871111" w:rsidP="005520CC">
      <w:pPr>
        <w:pStyle w:val="ListParagraph"/>
        <w:numPr>
          <w:ilvl w:val="0"/>
          <w:numId w:val="1"/>
        </w:numPr>
      </w:pPr>
      <w:r>
        <w:t xml:space="preserve">Each team will complete a </w:t>
      </w:r>
      <w:r w:rsidRPr="005520CC">
        <w:rPr>
          <w:i/>
          <w:iCs/>
        </w:rPr>
        <w:t xml:space="preserve">Research </w:t>
      </w:r>
      <w:r w:rsidR="005520CC">
        <w:rPr>
          <w:i/>
          <w:iCs/>
        </w:rPr>
        <w:t xml:space="preserve">Challenge </w:t>
      </w:r>
      <w:r w:rsidRPr="005520CC">
        <w:rPr>
          <w:i/>
          <w:iCs/>
        </w:rPr>
        <w:t xml:space="preserve">Proposal </w:t>
      </w:r>
      <w:r>
        <w:t>at the completion of the competition.</w:t>
      </w:r>
    </w:p>
    <w:p w:rsidR="00871111" w:rsidRDefault="00871111" w:rsidP="00871111">
      <w:pPr>
        <w:pStyle w:val="ListParagraph"/>
        <w:numPr>
          <w:ilvl w:val="0"/>
          <w:numId w:val="1"/>
        </w:numPr>
      </w:pPr>
      <w:r>
        <w:t>Prizes will be</w:t>
      </w:r>
      <w:r w:rsidR="00C4461D">
        <w:t xml:space="preserve"> awarded to the student teams for the best proposals</w:t>
      </w:r>
      <w:r w:rsidR="005520CC">
        <w:t>,</w:t>
      </w:r>
      <w:r w:rsidR="00C4461D">
        <w:t xml:space="preserve"> </w:t>
      </w:r>
      <w:r>
        <w:t>as judged by an academic panel.</w:t>
      </w:r>
    </w:p>
    <w:p w:rsidR="00871111" w:rsidRPr="00871111" w:rsidRDefault="00871111" w:rsidP="005520CC">
      <w:r w:rsidRPr="00871111">
        <w:t xml:space="preserve">A copy of the </w:t>
      </w:r>
      <w:r w:rsidR="00522D1E">
        <w:t xml:space="preserve">Research </w:t>
      </w:r>
      <w:r w:rsidR="005520CC">
        <w:t xml:space="preserve">Challenge </w:t>
      </w:r>
      <w:r w:rsidR="00522D1E">
        <w:t xml:space="preserve">Problem Definition, the presentation </w:t>
      </w:r>
      <w:r w:rsidRPr="00871111">
        <w:t xml:space="preserve">recording, </w:t>
      </w:r>
      <w:r>
        <w:t>any</w:t>
      </w:r>
      <w:r w:rsidRPr="00871111">
        <w:t xml:space="preserve"> </w:t>
      </w:r>
      <w:r>
        <w:t>presentation</w:t>
      </w:r>
      <w:r w:rsidRPr="00871111">
        <w:t xml:space="preserve"> slides</w:t>
      </w:r>
      <w:r>
        <w:t>, and the completed</w:t>
      </w:r>
      <w:r w:rsidRPr="00871111">
        <w:t xml:space="preserve"> </w:t>
      </w:r>
      <w:r>
        <w:t xml:space="preserve">Research </w:t>
      </w:r>
      <w:r w:rsidR="005520CC">
        <w:t xml:space="preserve">Challenge </w:t>
      </w:r>
      <w:r>
        <w:t xml:space="preserve">Proposal will be published in the Monash </w:t>
      </w:r>
      <w:proofErr w:type="spellStart"/>
      <w:r>
        <w:t>Figshare</w:t>
      </w:r>
      <w:proofErr w:type="spellEnd"/>
      <w:r>
        <w:t xml:space="preserve"> </w:t>
      </w:r>
      <w:r w:rsidR="00522D1E">
        <w:t>repository</w:t>
      </w:r>
      <w:r w:rsidR="005520CC">
        <w:t>,</w:t>
      </w:r>
      <w:r w:rsidR="00522D1E">
        <w:t xml:space="preserve"> </w:t>
      </w:r>
      <w:r w:rsidR="005520CC">
        <w:t>licenced under Creative Commons Attribution-</w:t>
      </w:r>
      <w:proofErr w:type="spellStart"/>
      <w:r w:rsidR="005520CC">
        <w:t>NonCommercial</w:t>
      </w:r>
      <w:proofErr w:type="spellEnd"/>
      <w:r w:rsidR="005520CC">
        <w:t>-</w:t>
      </w:r>
      <w:proofErr w:type="spellStart"/>
      <w:r w:rsidR="005520CC">
        <w:t>NoDerivs</w:t>
      </w:r>
      <w:proofErr w:type="spellEnd"/>
      <w:r w:rsidR="005520CC">
        <w:t xml:space="preserve"> licence (CC-BY-NC-ND), and </w:t>
      </w:r>
      <w:r w:rsidR="00522D1E">
        <w:t xml:space="preserve">with joint authorship comprising the team members and the proposing academic staff member. </w:t>
      </w:r>
    </w:p>
    <w:p w:rsidR="00D34DEC" w:rsidRDefault="00C4461D" w:rsidP="00C4461D">
      <w:pPr>
        <w:rPr>
          <w:b/>
          <w:bCs/>
        </w:rPr>
      </w:pPr>
      <w:r>
        <w:rPr>
          <w:b/>
          <w:bCs/>
        </w:rPr>
        <w:t>Proposing Academic Staff member</w:t>
      </w:r>
      <w:r w:rsidR="00871111" w:rsidRPr="005520CC">
        <w:rPr>
          <w:b/>
          <w:bCs/>
        </w:rPr>
        <w:t>:</w:t>
      </w:r>
    </w:p>
    <w:p w:rsidR="00871111" w:rsidRDefault="00C4461D" w:rsidP="00673431">
      <w:pPr>
        <w:spacing w:line="480" w:lineRule="auto"/>
        <w:rPr>
          <w:u w:val="single"/>
        </w:rPr>
      </w:pPr>
      <w:r>
        <w:rPr>
          <w:b/>
          <w:bCs/>
        </w:rPr>
        <w:t>Name:</w:t>
      </w:r>
      <w:r>
        <w:rPr>
          <w:b/>
          <w:bCs/>
        </w:rPr>
        <w:tab/>
      </w:r>
      <w:r>
        <w:rPr>
          <w:b/>
          <w:bCs/>
        </w:rPr>
        <w:tab/>
      </w:r>
      <w:r w:rsidR="00871111" w:rsidRPr="00D34DEC">
        <w:rPr>
          <w:u w:val="single"/>
        </w:rPr>
        <w:tab/>
      </w:r>
      <w:r w:rsidR="00673431">
        <w:rPr>
          <w:u w:val="single"/>
        </w:rPr>
        <w:t>FRADA BURSTEIN</w:t>
      </w:r>
      <w:r w:rsidR="00871111" w:rsidRPr="00D34DEC">
        <w:rPr>
          <w:u w:val="single"/>
        </w:rPr>
        <w:tab/>
      </w:r>
      <w:r w:rsidR="00871111">
        <w:rPr>
          <w:u w:val="single"/>
        </w:rPr>
        <w:tab/>
      </w:r>
      <w:r w:rsidR="00871111" w:rsidRPr="00D34DEC">
        <w:rPr>
          <w:u w:val="single"/>
        </w:rPr>
        <w:tab/>
      </w:r>
      <w:r w:rsidR="00871111" w:rsidRPr="00D34DEC">
        <w:rPr>
          <w:u w:val="single"/>
        </w:rPr>
        <w:tab/>
      </w:r>
      <w:r w:rsidR="00673431">
        <w:rPr>
          <w:u w:val="single"/>
        </w:rPr>
        <w:br/>
      </w:r>
      <w:r>
        <w:rPr>
          <w:b/>
          <w:bCs/>
        </w:rPr>
        <w:t>Signature:</w:t>
      </w:r>
      <w:r>
        <w:rPr>
          <w:b/>
          <w:bCs/>
        </w:rPr>
        <w:tab/>
      </w:r>
      <w:r w:rsidRPr="00D34DEC">
        <w:rPr>
          <w:u w:val="single"/>
        </w:rPr>
        <w:tab/>
      </w:r>
      <w:r w:rsidR="00673431">
        <w:rPr>
          <w:noProof/>
          <w:u w:val="single"/>
        </w:rPr>
        <w:drawing>
          <wp:inline distT="0" distB="0" distL="0" distR="0">
            <wp:extent cx="1133856" cy="3898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_Si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350" cy="39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3431">
        <w:rPr>
          <w:u w:val="single"/>
        </w:rPr>
        <w:tab/>
      </w:r>
      <w:r w:rsidR="00673431">
        <w:rPr>
          <w:u w:val="single"/>
        </w:rPr>
        <w:tab/>
      </w:r>
      <w:r w:rsidR="00673431">
        <w:rPr>
          <w:u w:val="single"/>
        </w:rPr>
        <w:tab/>
      </w:r>
      <w:r w:rsidR="00673431">
        <w:rPr>
          <w:u w:val="single"/>
        </w:rPr>
        <w:tab/>
      </w:r>
      <w:r w:rsidR="00673431">
        <w:rPr>
          <w:u w:val="single"/>
        </w:rPr>
        <w:br/>
      </w:r>
      <w:r>
        <w:rPr>
          <w:b/>
          <w:bCs/>
        </w:rPr>
        <w:t>Date:</w:t>
      </w:r>
      <w:r>
        <w:rPr>
          <w:b/>
          <w:bCs/>
        </w:rPr>
        <w:tab/>
      </w:r>
      <w:r>
        <w:rPr>
          <w:b/>
          <w:bCs/>
        </w:rPr>
        <w:tab/>
      </w:r>
      <w:r w:rsidR="00673431" w:rsidRPr="00673431">
        <w:rPr>
          <w:b/>
          <w:bCs/>
          <w:u w:val="single"/>
        </w:rPr>
        <w:tab/>
      </w:r>
      <w:r w:rsidR="00673431">
        <w:rPr>
          <w:u w:val="single"/>
        </w:rPr>
        <w:t>04.07.2017</w:t>
      </w:r>
      <w:r w:rsidRPr="00D34DEC">
        <w:rPr>
          <w:u w:val="single"/>
        </w:rPr>
        <w:tab/>
      </w:r>
    </w:p>
    <w:sectPr w:rsidR="00871111" w:rsidSect="00D34DEC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DEC" w:rsidRDefault="00D34DEC" w:rsidP="00D34DEC">
      <w:pPr>
        <w:spacing w:after="0" w:line="240" w:lineRule="auto"/>
      </w:pPr>
      <w:r>
        <w:separator/>
      </w:r>
    </w:p>
  </w:endnote>
  <w:endnote w:type="continuationSeparator" w:id="0">
    <w:p w:rsidR="00D34DEC" w:rsidRDefault="00D34DEC" w:rsidP="00D3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DEC" w:rsidRDefault="00D34DEC" w:rsidP="00D34DEC">
      <w:pPr>
        <w:spacing w:after="0" w:line="240" w:lineRule="auto"/>
      </w:pPr>
      <w:r>
        <w:separator/>
      </w:r>
    </w:p>
  </w:footnote>
  <w:footnote w:type="continuationSeparator" w:id="0">
    <w:p w:rsidR="00D34DEC" w:rsidRDefault="00D34DEC" w:rsidP="00D34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EC" w:rsidRPr="00522D1E" w:rsidRDefault="00522D1E" w:rsidP="00D34DEC">
    <w:pPr>
      <w:pStyle w:val="Heading1"/>
      <w:pBdr>
        <w:bottom w:val="single" w:sz="4" w:space="1" w:color="auto"/>
      </w:pBdr>
      <w:jc w:val="center"/>
      <w:rPr>
        <w:sz w:val="30"/>
        <w:szCs w:val="30"/>
      </w:rPr>
    </w:pPr>
    <w:r w:rsidRPr="00522D1E">
      <w:rPr>
        <w:sz w:val="30"/>
        <w:szCs w:val="30"/>
      </w:rPr>
      <w:t xml:space="preserve">Monash </w:t>
    </w:r>
    <w:r w:rsidR="00D34DEC" w:rsidRPr="00522D1E">
      <w:rPr>
        <w:sz w:val="30"/>
        <w:szCs w:val="30"/>
      </w:rPr>
      <w:t>Graduate Research Students’ Day – Collaborative Research Challenge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41D4B"/>
    <w:multiLevelType w:val="hybridMultilevel"/>
    <w:tmpl w:val="F110A1D0"/>
    <w:lvl w:ilvl="0" w:tplc="124C3AA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229B8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50C31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A8E9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E2D54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347F8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58BB8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083A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DE74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687199D"/>
    <w:multiLevelType w:val="hybridMultilevel"/>
    <w:tmpl w:val="99CEF8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DEC"/>
    <w:rsid w:val="00121CDE"/>
    <w:rsid w:val="0016297F"/>
    <w:rsid w:val="001721F5"/>
    <w:rsid w:val="00210E43"/>
    <w:rsid w:val="00306717"/>
    <w:rsid w:val="00522D1E"/>
    <w:rsid w:val="005520CC"/>
    <w:rsid w:val="005F70A5"/>
    <w:rsid w:val="00673431"/>
    <w:rsid w:val="007109A4"/>
    <w:rsid w:val="007563AC"/>
    <w:rsid w:val="00871111"/>
    <w:rsid w:val="008E6A76"/>
    <w:rsid w:val="009D0E5A"/>
    <w:rsid w:val="00AB4BE1"/>
    <w:rsid w:val="00C24D50"/>
    <w:rsid w:val="00C4461D"/>
    <w:rsid w:val="00D34DEC"/>
    <w:rsid w:val="00E5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926CEE-5890-4853-B94E-3FEF1189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4D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4D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DEC"/>
  </w:style>
  <w:style w:type="paragraph" w:styleId="Footer">
    <w:name w:val="footer"/>
    <w:basedOn w:val="Normal"/>
    <w:link w:val="FooterChar"/>
    <w:uiPriority w:val="99"/>
    <w:unhideWhenUsed/>
    <w:rsid w:val="00D34D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DEC"/>
  </w:style>
  <w:style w:type="paragraph" w:styleId="Title">
    <w:name w:val="Title"/>
    <w:basedOn w:val="Normal"/>
    <w:next w:val="Normal"/>
    <w:link w:val="TitleChar"/>
    <w:uiPriority w:val="10"/>
    <w:qFormat/>
    <w:rsid w:val="00D34D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4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34D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71111"/>
    <w:pPr>
      <w:ind w:left="720"/>
      <w:contextualSpacing/>
    </w:pPr>
  </w:style>
  <w:style w:type="table" w:styleId="TableGrid">
    <w:name w:val="Table Grid"/>
    <w:basedOn w:val="TableNormal"/>
    <w:uiPriority w:val="39"/>
    <w:rsid w:val="005F7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21C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4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84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26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4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884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(https:/www.digitalhealth.gov.au/about-the-agenc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y.gov.au/LoginServices/main/login?execution=e2s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abc.net.au/news/2017-07-04/tudge-calls-for-afp-to-investigate-medicare-card-numbers-dark-w/86766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Rolan</dc:creator>
  <cp:keywords/>
  <dc:description/>
  <cp:lastModifiedBy>Gregory Rolan</cp:lastModifiedBy>
  <cp:revision>7</cp:revision>
  <dcterms:created xsi:type="dcterms:W3CDTF">2017-07-05T12:29:00Z</dcterms:created>
  <dcterms:modified xsi:type="dcterms:W3CDTF">2017-07-09T00:35:00Z</dcterms:modified>
</cp:coreProperties>
</file>