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E44CC" w14:textId="51162919" w:rsidR="00171B57" w:rsidRDefault="00000000" w:rsidP="00171B57">
      <w:pPr>
        <w:pStyle w:val="Title"/>
      </w:pPr>
      <w:sdt>
        <w:sdtPr>
          <w:alias w:val="Title:"/>
          <w:tag w:val="Title:"/>
          <w:id w:val="726351117"/>
          <w:placeholder>
            <w:docPart w:val="A09B6EE47A534C41A6F164C829BD16AA"/>
          </w:placeholder>
          <w:dataBinding w:prefixMappings="xmlns:ns0='http://purl.org/dc/elements/1.1/' xmlns:ns1='http://schemas.openxmlformats.org/package/2006/metadata/core-properties' " w:xpath="/ns1:coreProperties[1]/ns0:title[1]" w:storeItemID="{6C3C8BC8-F283-45AE-878A-BAB7291924A1}"/>
          <w15:appearance w15:val="hidden"/>
          <w:text w:multiLine="1"/>
        </w:sdtPr>
        <w:sdtContent>
          <w:r w:rsidR="00171B57">
            <w:t>Reconceptualizing the Factor Structure of the Depression Anxiety Stress Scales (DASS) for Traumatic Brain Injury</w:t>
          </w:r>
        </w:sdtContent>
      </w:sdt>
    </w:p>
    <w:p w14:paraId="19023B73" w14:textId="77777777" w:rsidR="00171B57" w:rsidRDefault="00171B57" w:rsidP="00171B57">
      <w:pPr>
        <w:ind w:firstLine="0"/>
        <w:jc w:val="center"/>
        <w:rPr>
          <w:rFonts w:ascii="Times New Roman" w:hAnsi="Times New Roman" w:cs="Times New Roman"/>
        </w:rPr>
      </w:pPr>
      <w:r>
        <w:rPr>
          <w:rFonts w:ascii="Times New Roman" w:hAnsi="Times New Roman" w:cs="Times New Roman"/>
        </w:rPr>
        <w:t>Alexia Samiotis</w:t>
      </w:r>
      <w:r>
        <w:rPr>
          <w:rFonts w:ascii="Times New Roman" w:hAnsi="Times New Roman" w:cs="Times New Roman"/>
          <w:vertAlign w:val="superscript"/>
        </w:rPr>
        <w:t>1,2,*</w:t>
      </w:r>
      <w:r>
        <w:rPr>
          <w:rFonts w:ascii="Times New Roman" w:hAnsi="Times New Roman" w:cs="Times New Roman"/>
        </w:rPr>
        <w:t>, Jai Carmichael</w:t>
      </w:r>
      <w:r>
        <w:rPr>
          <w:rFonts w:ascii="Times New Roman" w:hAnsi="Times New Roman" w:cs="Times New Roman"/>
          <w:vertAlign w:val="superscript"/>
        </w:rPr>
        <w:t>1,2,*</w:t>
      </w:r>
      <w:r>
        <w:rPr>
          <w:rFonts w:ascii="Times New Roman" w:hAnsi="Times New Roman" w:cs="Times New Roman"/>
        </w:rPr>
        <w:t>, Dana Wong</w:t>
      </w:r>
      <w:r>
        <w:rPr>
          <w:rFonts w:ascii="Times New Roman" w:hAnsi="Times New Roman" w:cs="Times New Roman"/>
          <w:vertAlign w:val="superscript"/>
        </w:rPr>
        <w:t>3</w:t>
      </w:r>
      <w:r>
        <w:rPr>
          <w:rFonts w:ascii="Times New Roman" w:hAnsi="Times New Roman" w:cs="Times New Roman"/>
        </w:rPr>
        <w:t>, Kate Rachel Gould</w:t>
      </w:r>
      <w:r>
        <w:rPr>
          <w:rFonts w:ascii="Times New Roman" w:hAnsi="Times New Roman" w:cs="Times New Roman"/>
          <w:vertAlign w:val="superscript"/>
        </w:rPr>
        <w:t>1,2</w:t>
      </w:r>
      <w:r>
        <w:rPr>
          <w:rFonts w:ascii="Times New Roman" w:hAnsi="Times New Roman" w:cs="Times New Roman"/>
        </w:rPr>
        <w:t>, Lisa Johnston</w:t>
      </w:r>
      <w:r>
        <w:rPr>
          <w:rFonts w:ascii="Times New Roman" w:hAnsi="Times New Roman" w:cs="Times New Roman"/>
          <w:vertAlign w:val="superscript"/>
        </w:rPr>
        <w:t>1</w:t>
      </w:r>
      <w:r>
        <w:rPr>
          <w:rFonts w:ascii="Times New Roman" w:hAnsi="Times New Roman" w:cs="Times New Roman"/>
        </w:rPr>
        <w:t>, Jennie Ponsford</w:t>
      </w:r>
      <w:r>
        <w:rPr>
          <w:rFonts w:ascii="Times New Roman" w:hAnsi="Times New Roman" w:cs="Times New Roman"/>
          <w:vertAlign w:val="superscript"/>
        </w:rPr>
        <w:t>1,2</w:t>
      </w:r>
      <w:r>
        <w:rPr>
          <w:rFonts w:ascii="Times New Roman" w:hAnsi="Times New Roman" w:cs="Times New Roman"/>
        </w:rPr>
        <w:t>, Gershon Spitz</w:t>
      </w:r>
      <w:r>
        <w:rPr>
          <w:rFonts w:ascii="Times New Roman" w:hAnsi="Times New Roman" w:cs="Times New Roman"/>
          <w:vertAlign w:val="superscript"/>
        </w:rPr>
        <w:t>1,2,4</w:t>
      </w:r>
    </w:p>
    <w:p w14:paraId="05AF6FA4" w14:textId="77777777" w:rsidR="00171B57" w:rsidRPr="00E11D25" w:rsidRDefault="00171B57" w:rsidP="00171B57">
      <w:pPr>
        <w:ind w:firstLine="0"/>
        <w:rPr>
          <w:rFonts w:ascii="Times New Roman" w:hAnsi="Times New Roman" w:cs="Times New Roman"/>
        </w:rPr>
      </w:pPr>
      <w:r>
        <w:rPr>
          <w:rFonts w:ascii="Times New Roman" w:hAnsi="Times New Roman" w:cs="Times New Roman"/>
        </w:rPr>
        <w:t>*First Authors contributed equally.</w:t>
      </w:r>
    </w:p>
    <w:p w14:paraId="365A9748" w14:textId="77777777" w:rsidR="00171B57" w:rsidRDefault="00171B57" w:rsidP="00171B57">
      <w:pPr>
        <w:pStyle w:val="Title2"/>
      </w:pPr>
      <w:r>
        <w:rPr>
          <w:vertAlign w:val="superscript"/>
        </w:rPr>
        <w:t>a</w:t>
      </w:r>
      <w:r>
        <w:t>Monash-Epworth Rehabilitation Research Centre, Epworth HealthCare, Melbourne, Australia</w:t>
      </w:r>
    </w:p>
    <w:p w14:paraId="4C6A818B" w14:textId="77777777" w:rsidR="00171B57" w:rsidRDefault="00171B57" w:rsidP="00171B57">
      <w:pPr>
        <w:pStyle w:val="Title2"/>
      </w:pPr>
      <w:r>
        <w:rPr>
          <w:vertAlign w:val="superscript"/>
        </w:rPr>
        <w:t>b</w:t>
      </w:r>
      <w:r>
        <w:t>Turner Institute for Brain Mental Health, School of Psychological Sciences, Monash University, Clayton, Australia</w:t>
      </w:r>
    </w:p>
    <w:p w14:paraId="2CF889EA" w14:textId="77777777" w:rsidR="00171B57" w:rsidRDefault="00171B57" w:rsidP="00171B57">
      <w:pPr>
        <w:pStyle w:val="Title2"/>
      </w:pPr>
      <w:proofErr w:type="spellStart"/>
      <w:r>
        <w:rPr>
          <w:vertAlign w:val="superscript"/>
        </w:rPr>
        <w:t>c</w:t>
      </w:r>
      <w:r>
        <w:t>School</w:t>
      </w:r>
      <w:proofErr w:type="spellEnd"/>
      <w:r>
        <w:t xml:space="preserve"> of Psychology and Public Health, La Trobe University, Bundoora, Australia</w:t>
      </w:r>
    </w:p>
    <w:p w14:paraId="55CF965F" w14:textId="77777777" w:rsidR="00171B57" w:rsidRDefault="00171B57" w:rsidP="00171B57">
      <w:pPr>
        <w:pStyle w:val="Title2"/>
      </w:pPr>
      <w:proofErr w:type="spellStart"/>
      <w:r>
        <w:rPr>
          <w:vertAlign w:val="superscript"/>
        </w:rPr>
        <w:t>d</w:t>
      </w:r>
      <w:r>
        <w:t>Department</w:t>
      </w:r>
      <w:proofErr w:type="spellEnd"/>
      <w:r>
        <w:t xml:space="preserve"> of Neuroscience, Central Clinical School, Faculty of Medicine, Nursing and Health Sciences, Monash University, Melbourne Australia</w:t>
      </w:r>
    </w:p>
    <w:p w14:paraId="17C8957A" w14:textId="77777777" w:rsidR="00171B57" w:rsidRDefault="00171B57" w:rsidP="00171B57">
      <w:pPr>
        <w:pStyle w:val="Title2"/>
      </w:pPr>
    </w:p>
    <w:p w14:paraId="051B306E" w14:textId="77777777" w:rsidR="00171B57" w:rsidRDefault="00171B57" w:rsidP="00171B57">
      <w:pPr>
        <w:pStyle w:val="Title2"/>
        <w:ind w:firstLine="720"/>
        <w:jc w:val="left"/>
      </w:pPr>
      <w:r>
        <w:t>Corresponding author: Jai Carmichael; jai.carmichael@monash.edu</w:t>
      </w:r>
    </w:p>
    <w:p w14:paraId="7F1DADE5" w14:textId="77777777" w:rsidR="00171B57" w:rsidRDefault="00171B57" w:rsidP="00171B57">
      <w:pPr>
        <w:pStyle w:val="Title2"/>
        <w:ind w:firstLine="720"/>
        <w:jc w:val="left"/>
      </w:pPr>
      <w:r>
        <w:t>Conflicts of interest: None.</w:t>
      </w:r>
    </w:p>
    <w:p w14:paraId="30A52467" w14:textId="77777777" w:rsidR="00171B57" w:rsidRDefault="00171B57" w:rsidP="00171B57">
      <w:pPr>
        <w:pStyle w:val="Title2"/>
        <w:ind w:firstLine="720"/>
        <w:jc w:val="left"/>
        <w:rPr>
          <w:rFonts w:cstheme="minorHAnsi"/>
        </w:rPr>
      </w:pPr>
      <w:r>
        <w:t xml:space="preserve">Declaration of funding: This research was supported by funding from the Transport Accident Commission (TAC). AS and </w:t>
      </w:r>
      <w:r w:rsidRPr="009D5914">
        <w:rPr>
          <w:rFonts w:cstheme="minorHAnsi"/>
        </w:rPr>
        <w:t>JC w</w:t>
      </w:r>
      <w:r>
        <w:rPr>
          <w:rFonts w:cstheme="minorHAnsi"/>
        </w:rPr>
        <w:t>ere</w:t>
      </w:r>
      <w:r w:rsidRPr="009D5914">
        <w:rPr>
          <w:rFonts w:cstheme="minorHAnsi"/>
        </w:rPr>
        <w:t xml:space="preserve"> supported by an Australian Government Research Training Program (RTP) Scholarship.</w:t>
      </w:r>
    </w:p>
    <w:p w14:paraId="775436DA" w14:textId="77777777" w:rsidR="001C32BE" w:rsidRDefault="00171B57" w:rsidP="00171B57">
      <w:pPr>
        <w:rPr>
          <w:rFonts w:cstheme="minorHAnsi"/>
        </w:rPr>
      </w:pPr>
      <w:r>
        <w:t xml:space="preserve">Acknowledgements: </w:t>
      </w:r>
      <w:r w:rsidRPr="009D5914">
        <w:rPr>
          <w:rFonts w:cstheme="minorHAnsi"/>
        </w:rPr>
        <w:t xml:space="preserve">The authors would like to acknowledge Dr David Lawson, </w:t>
      </w:r>
      <w:r>
        <w:rPr>
          <w:rFonts w:cstheme="minorHAnsi"/>
        </w:rPr>
        <w:t xml:space="preserve">Dr </w:t>
      </w:r>
      <w:r w:rsidRPr="009D5914">
        <w:rPr>
          <w:rFonts w:cstheme="minorHAnsi"/>
        </w:rPr>
        <w:t xml:space="preserve">Sylvia Nguyen, </w:t>
      </w:r>
      <w:r>
        <w:rPr>
          <w:rFonts w:cstheme="minorHAnsi"/>
        </w:rPr>
        <w:t xml:space="preserve">Dr </w:t>
      </w:r>
      <w:r w:rsidRPr="009D5914">
        <w:rPr>
          <w:rFonts w:cstheme="minorHAnsi"/>
        </w:rPr>
        <w:t xml:space="preserve">Kate Cameron, and </w:t>
      </w:r>
      <w:r>
        <w:rPr>
          <w:rFonts w:cstheme="minorHAnsi"/>
        </w:rPr>
        <w:t xml:space="preserve">Dr </w:t>
      </w:r>
      <w:r w:rsidRPr="009D5914">
        <w:rPr>
          <w:rFonts w:cstheme="minorHAnsi"/>
        </w:rPr>
        <w:t xml:space="preserve">Celia Pais as well as the broader staff at the </w:t>
      </w:r>
      <w:r w:rsidRPr="009D5914">
        <w:rPr>
          <w:rFonts w:cstheme="minorHAnsi"/>
        </w:rPr>
        <w:lastRenderedPageBreak/>
        <w:t>Monash-Epworth Rehabilitation Research Centre (MERRC) for their assistance with data collection.</w:t>
      </w:r>
    </w:p>
    <w:p w14:paraId="1ED87FB4" w14:textId="77777777" w:rsidR="001C32BE" w:rsidRDefault="001C32BE" w:rsidP="00171B57">
      <w:pPr>
        <w:rPr>
          <w:rFonts w:cstheme="minorHAnsi"/>
        </w:rPr>
      </w:pPr>
    </w:p>
    <w:p w14:paraId="15CCE412" w14:textId="5FF9A4A8" w:rsidR="00171B57" w:rsidRPr="001C32BE" w:rsidRDefault="001C32BE" w:rsidP="00171B57">
      <w:pPr>
        <w:rPr>
          <w:rFonts w:cstheme="minorHAnsi"/>
          <w:b/>
          <w:bCs/>
        </w:rPr>
      </w:pPr>
      <w:r w:rsidRPr="001C32BE">
        <w:rPr>
          <w:rFonts w:cstheme="minorHAnsi"/>
          <w:b/>
          <w:bCs/>
          <w:color w:val="FF0000"/>
        </w:rPr>
        <w:t xml:space="preserve">This paper is In Press at </w:t>
      </w:r>
      <w:r w:rsidRPr="001C32BE">
        <w:rPr>
          <w:rFonts w:cstheme="minorHAnsi"/>
          <w:b/>
          <w:bCs/>
          <w:i/>
          <w:iCs/>
          <w:color w:val="FF0000"/>
        </w:rPr>
        <w:t>Journal of Emotion and Psychopathology</w:t>
      </w:r>
      <w:r w:rsidRPr="001C32BE">
        <w:rPr>
          <w:rFonts w:cstheme="minorHAnsi"/>
          <w:b/>
          <w:bCs/>
          <w:color w:val="FF0000"/>
        </w:rPr>
        <w:t xml:space="preserve"> and will be published open-access.</w:t>
      </w:r>
      <w:r w:rsidR="00171B57" w:rsidRPr="001C32BE">
        <w:rPr>
          <w:b/>
          <w:bCs/>
          <w:lang w:val="en-AU" w:eastAsia="zh-CN"/>
        </w:rPr>
        <w:br w:type="page"/>
      </w:r>
    </w:p>
    <w:p w14:paraId="6613DF67" w14:textId="607C260E" w:rsidR="000C0126" w:rsidRPr="00B424A1" w:rsidRDefault="000C0126" w:rsidP="004D358A">
      <w:pPr>
        <w:ind w:firstLine="0"/>
        <w:jc w:val="center"/>
        <w:rPr>
          <w:lang w:val="en-AU" w:eastAsia="zh-CN"/>
        </w:rPr>
      </w:pPr>
      <w:r w:rsidRPr="00B424A1">
        <w:rPr>
          <w:lang w:val="en-AU" w:eastAsia="zh-CN"/>
        </w:rPr>
        <w:lastRenderedPageBreak/>
        <w:t>Abstract</w:t>
      </w:r>
    </w:p>
    <w:p w14:paraId="4E9871FC" w14:textId="1591F70D" w:rsidR="00F163A7" w:rsidRPr="003B4CC3" w:rsidRDefault="0051537C" w:rsidP="00443C90">
      <w:pPr>
        <w:rPr>
          <w:rFonts w:ascii="Times New Roman" w:hAnsi="Times New Roman" w:cs="Times New Roman"/>
          <w:lang w:val="en-AU" w:eastAsia="zh-CN"/>
        </w:rPr>
      </w:pPr>
      <w:r>
        <w:rPr>
          <w:rFonts w:ascii="Times New Roman" w:hAnsi="Times New Roman" w:cs="Times New Roman"/>
          <w:szCs w:val="22"/>
          <w:lang w:val="en-AU" w:eastAsia="zh-CN"/>
        </w:rPr>
        <w:t xml:space="preserve">We used </w:t>
      </w:r>
      <w:r w:rsidR="00443C90">
        <w:rPr>
          <w:rFonts w:ascii="Times New Roman" w:hAnsi="Times New Roman" w:cs="Times New Roman"/>
          <w:szCs w:val="22"/>
          <w:lang w:val="en-AU" w:eastAsia="zh-CN"/>
        </w:rPr>
        <w:t>contemporary factor analytic procedures</w:t>
      </w:r>
      <w:r>
        <w:rPr>
          <w:rFonts w:ascii="Times New Roman" w:hAnsi="Times New Roman" w:cs="Times New Roman"/>
          <w:szCs w:val="22"/>
          <w:lang w:val="en-AU" w:eastAsia="zh-CN"/>
        </w:rPr>
        <w:t xml:space="preserve"> to </w:t>
      </w:r>
      <w:r w:rsidR="00443C90">
        <w:rPr>
          <w:rFonts w:ascii="Times New Roman" w:hAnsi="Times New Roman" w:cs="Times New Roman"/>
          <w:szCs w:val="22"/>
          <w:lang w:val="en-AU" w:eastAsia="zh-CN"/>
        </w:rPr>
        <w:t>assess whether</w:t>
      </w:r>
      <w:r w:rsidR="00095740">
        <w:rPr>
          <w:rFonts w:ascii="Times New Roman" w:hAnsi="Times New Roman" w:cs="Times New Roman"/>
          <w:szCs w:val="22"/>
          <w:lang w:val="en-AU" w:eastAsia="zh-CN"/>
        </w:rPr>
        <w:t xml:space="preserve"> the</w:t>
      </w:r>
      <w:r>
        <w:rPr>
          <w:rFonts w:ascii="Times New Roman" w:hAnsi="Times New Roman" w:cs="Times New Roman"/>
          <w:szCs w:val="22"/>
          <w:lang w:val="en-AU" w:eastAsia="zh-CN"/>
        </w:rPr>
        <w:t xml:space="preserve"> </w:t>
      </w:r>
      <w:r w:rsidRPr="00B424A1">
        <w:rPr>
          <w:rFonts w:ascii="Times New Roman" w:hAnsi="Times New Roman" w:cs="Times New Roman"/>
          <w:szCs w:val="22"/>
          <w:lang w:val="en-AU" w:eastAsia="zh-CN"/>
        </w:rPr>
        <w:t>Depression Anxiety Stress Scales (DASS)</w:t>
      </w:r>
      <w:r>
        <w:rPr>
          <w:rFonts w:ascii="Times New Roman" w:hAnsi="Times New Roman" w:cs="Times New Roman"/>
          <w:szCs w:val="22"/>
          <w:lang w:val="en-AU" w:eastAsia="zh-CN"/>
        </w:rPr>
        <w:t xml:space="preserve"> </w:t>
      </w:r>
      <w:r w:rsidR="00443C90">
        <w:rPr>
          <w:rFonts w:ascii="Times New Roman" w:hAnsi="Times New Roman" w:cs="Times New Roman"/>
          <w:szCs w:val="22"/>
          <w:lang w:val="en-AU" w:eastAsia="zh-CN"/>
        </w:rPr>
        <w:t xml:space="preserve">can </w:t>
      </w:r>
      <w:r>
        <w:rPr>
          <w:rFonts w:ascii="Times New Roman" w:hAnsi="Times New Roman" w:cs="Times New Roman"/>
          <w:szCs w:val="22"/>
          <w:lang w:val="en-AU" w:eastAsia="zh-CN"/>
        </w:rPr>
        <w:t xml:space="preserve">reliably differentiate depression, anxiety, and stress </w:t>
      </w:r>
      <w:r w:rsidRPr="00B424A1">
        <w:rPr>
          <w:rFonts w:ascii="Times New Roman" w:hAnsi="Times New Roman" w:cs="Times New Roman"/>
          <w:szCs w:val="22"/>
          <w:lang w:val="en-AU" w:eastAsia="zh-CN"/>
        </w:rPr>
        <w:t>in individuals with TBI</w:t>
      </w:r>
      <w:r>
        <w:rPr>
          <w:rFonts w:ascii="Times New Roman" w:hAnsi="Times New Roman" w:cs="Times New Roman"/>
          <w:szCs w:val="22"/>
          <w:lang w:val="en-AU" w:eastAsia="zh-CN"/>
        </w:rPr>
        <w:t xml:space="preserve">. One-hundred and thirty-six adults </w:t>
      </w:r>
      <w:r w:rsidRPr="00B424A1">
        <w:rPr>
          <w:rFonts w:ascii="Times New Roman" w:hAnsi="Times New Roman" w:cs="Times New Roman"/>
          <w:szCs w:val="22"/>
          <w:lang w:val="en-AU" w:eastAsia="zh-CN"/>
        </w:rPr>
        <w:t>(M</w:t>
      </w:r>
      <w:r w:rsidRPr="00B424A1">
        <w:rPr>
          <w:rFonts w:ascii="Times New Roman" w:hAnsi="Times New Roman" w:cs="Times New Roman"/>
          <w:szCs w:val="22"/>
          <w:vertAlign w:val="subscript"/>
          <w:lang w:val="en-AU" w:eastAsia="zh-CN"/>
        </w:rPr>
        <w:t>age</w:t>
      </w:r>
      <w:r w:rsidRPr="00B424A1">
        <w:rPr>
          <w:rFonts w:ascii="Times New Roman" w:hAnsi="Times New Roman" w:cs="Times New Roman"/>
          <w:szCs w:val="22"/>
          <w:lang w:val="en-AU" w:eastAsia="zh-CN"/>
        </w:rPr>
        <w:t xml:space="preserve"> = 38.51 years;</w:t>
      </w:r>
      <w:r w:rsidRPr="00B424A1">
        <w:rPr>
          <w:rFonts w:ascii="Times New Roman" w:hAnsi="Times New Roman" w:cs="Times New Roman"/>
        </w:rPr>
        <w:t xml:space="preserve"> 77.94%</w:t>
      </w:r>
      <w:r w:rsidRPr="00B424A1">
        <w:rPr>
          <w:rFonts w:ascii="Times New Roman" w:hAnsi="Times New Roman" w:cs="Times New Roman"/>
          <w:szCs w:val="22"/>
          <w:lang w:val="en-AU" w:eastAsia="zh-CN"/>
        </w:rPr>
        <w:t xml:space="preserve"> male) with moderate-severe TBI</w:t>
      </w:r>
      <w:r>
        <w:rPr>
          <w:rFonts w:ascii="Times New Roman" w:hAnsi="Times New Roman" w:cs="Times New Roman"/>
          <w:szCs w:val="22"/>
          <w:lang w:val="en-AU" w:eastAsia="zh-CN"/>
        </w:rPr>
        <w:t xml:space="preserve"> completed the DASS4</w:t>
      </w:r>
      <w:r w:rsidR="00095740">
        <w:rPr>
          <w:rFonts w:ascii="Times New Roman" w:hAnsi="Times New Roman" w:cs="Times New Roman"/>
          <w:szCs w:val="22"/>
          <w:lang w:val="en-AU" w:eastAsia="zh-CN"/>
        </w:rPr>
        <w:t>2.</w:t>
      </w:r>
      <w:r>
        <w:rPr>
          <w:rFonts w:ascii="Times New Roman" w:hAnsi="Times New Roman" w:cs="Times New Roman"/>
          <w:szCs w:val="22"/>
          <w:lang w:val="en-AU" w:eastAsia="zh-CN"/>
        </w:rPr>
        <w:t xml:space="preserve"> </w:t>
      </w:r>
      <w:r w:rsidR="00095740">
        <w:rPr>
          <w:rFonts w:ascii="Times New Roman" w:hAnsi="Times New Roman" w:cs="Times New Roman"/>
          <w:szCs w:val="22"/>
          <w:lang w:val="en-AU" w:eastAsia="zh-CN"/>
        </w:rPr>
        <w:t>Various</w:t>
      </w:r>
      <w:r>
        <w:rPr>
          <w:rFonts w:ascii="Times New Roman" w:hAnsi="Times New Roman" w:cs="Times New Roman"/>
          <w:szCs w:val="22"/>
          <w:lang w:val="en-AU" w:eastAsia="zh-CN"/>
        </w:rPr>
        <w:t xml:space="preserve"> confirmatory factor models were estimated for both the DASS21 and DASS42, </w:t>
      </w:r>
      <w:r>
        <w:rPr>
          <w:rFonts w:cstheme="minorHAnsi"/>
        </w:rPr>
        <w:t xml:space="preserve">with a </w:t>
      </w:r>
      <w:r w:rsidR="00443C90">
        <w:rPr>
          <w:rFonts w:cstheme="minorHAnsi"/>
        </w:rPr>
        <w:t>focus on</w:t>
      </w:r>
      <w:r>
        <w:rPr>
          <w:rFonts w:cstheme="minorHAnsi"/>
        </w:rPr>
        <w:t xml:space="preserve"> novel statistical indices </w:t>
      </w:r>
      <w:r w:rsidR="003B4CC3">
        <w:rPr>
          <w:rFonts w:cstheme="minorHAnsi"/>
        </w:rPr>
        <w:t>derived from</w:t>
      </w:r>
      <w:r>
        <w:rPr>
          <w:rFonts w:cstheme="minorHAnsi"/>
        </w:rPr>
        <w:t xml:space="preserve"> bifactor modeling.</w:t>
      </w:r>
      <w:r>
        <w:rPr>
          <w:rFonts w:ascii="Times New Roman" w:hAnsi="Times New Roman" w:cs="Times New Roman"/>
          <w:szCs w:val="22"/>
          <w:lang w:val="en-AU" w:eastAsia="zh-CN"/>
        </w:rPr>
        <w:t xml:space="preserve"> </w:t>
      </w:r>
      <w:r w:rsidR="00443C90">
        <w:rPr>
          <w:rFonts w:ascii="Times New Roman" w:hAnsi="Times New Roman" w:cs="Times New Roman"/>
          <w:szCs w:val="22"/>
          <w:lang w:val="en-AU" w:eastAsia="zh-CN"/>
        </w:rPr>
        <w:t xml:space="preserve">Bifactor modeling revealed a </w:t>
      </w:r>
      <w:r w:rsidR="003B4CC3">
        <w:rPr>
          <w:rFonts w:ascii="Times New Roman" w:hAnsi="Times New Roman" w:cs="Times New Roman"/>
          <w:szCs w:val="22"/>
          <w:lang w:val="en-AU" w:eastAsia="zh-CN"/>
        </w:rPr>
        <w:t xml:space="preserve">dominant general distress factor, accounting for 89% of the systematic variance in </w:t>
      </w:r>
      <w:r w:rsidR="00443C90">
        <w:rPr>
          <w:rFonts w:ascii="Times New Roman" w:hAnsi="Times New Roman" w:cs="Times New Roman"/>
          <w:szCs w:val="22"/>
          <w:lang w:val="en-AU" w:eastAsia="zh-CN"/>
        </w:rPr>
        <w:t xml:space="preserve">DASS21 </w:t>
      </w:r>
      <w:r w:rsidR="003B4CC3">
        <w:rPr>
          <w:rFonts w:ascii="Times New Roman" w:hAnsi="Times New Roman" w:cs="Times New Roman"/>
          <w:szCs w:val="22"/>
          <w:lang w:val="en-AU" w:eastAsia="zh-CN"/>
        </w:rPr>
        <w:t xml:space="preserve">total scores. </w:t>
      </w:r>
      <w:r w:rsidR="00443C90">
        <w:rPr>
          <w:rFonts w:ascii="Times New Roman" w:hAnsi="Times New Roman" w:cs="Times New Roman"/>
          <w:lang w:val="en-AU" w:eastAsia="zh-CN"/>
        </w:rPr>
        <w:t>S</w:t>
      </w:r>
      <w:r w:rsidR="00F163A7" w:rsidRPr="00B424A1">
        <w:rPr>
          <w:rFonts w:ascii="Times New Roman" w:hAnsi="Times New Roman" w:cs="Times New Roman"/>
          <w:lang w:val="en-AU" w:eastAsia="zh-CN"/>
        </w:rPr>
        <w:t xml:space="preserve">pecific </w:t>
      </w:r>
      <w:r w:rsidR="00443C90">
        <w:rPr>
          <w:rFonts w:ascii="Times New Roman" w:hAnsi="Times New Roman" w:cs="Times New Roman"/>
          <w:lang w:val="en-AU" w:eastAsia="zh-CN"/>
        </w:rPr>
        <w:t xml:space="preserve">depression, anxiety, and stress </w:t>
      </w:r>
      <w:r w:rsidR="00F163A7" w:rsidRPr="00B424A1">
        <w:rPr>
          <w:rFonts w:ascii="Times New Roman" w:hAnsi="Times New Roman" w:cs="Times New Roman"/>
          <w:lang w:val="en-AU" w:eastAsia="zh-CN"/>
        </w:rPr>
        <w:t xml:space="preserve">factors </w:t>
      </w:r>
      <w:r w:rsidR="005409E7" w:rsidRPr="00B424A1">
        <w:rPr>
          <w:rFonts w:ascii="Times New Roman" w:hAnsi="Times New Roman" w:cs="Times New Roman"/>
          <w:lang w:val="en-AU" w:eastAsia="zh-CN"/>
        </w:rPr>
        <w:t>added little specific information</w:t>
      </w:r>
      <w:r w:rsidR="00F163A7" w:rsidRPr="00B424A1">
        <w:rPr>
          <w:rFonts w:ascii="Times New Roman" w:hAnsi="Times New Roman" w:cs="Times New Roman"/>
          <w:lang w:val="en-AU" w:eastAsia="zh-CN"/>
        </w:rPr>
        <w:t xml:space="preserve"> when holding </w:t>
      </w:r>
      <w:r w:rsidR="003B4CC3">
        <w:rPr>
          <w:rFonts w:ascii="Times New Roman" w:hAnsi="Times New Roman" w:cs="Times New Roman"/>
          <w:lang w:val="en-AU" w:eastAsia="zh-CN"/>
        </w:rPr>
        <w:t>th</w:t>
      </w:r>
      <w:r w:rsidR="00443C90">
        <w:rPr>
          <w:rFonts w:ascii="Times New Roman" w:hAnsi="Times New Roman" w:cs="Times New Roman"/>
          <w:lang w:val="en-AU" w:eastAsia="zh-CN"/>
        </w:rPr>
        <w:t>e</w:t>
      </w:r>
      <w:r w:rsidR="003B4CC3">
        <w:rPr>
          <w:rFonts w:ascii="Times New Roman" w:hAnsi="Times New Roman" w:cs="Times New Roman"/>
          <w:lang w:val="en-AU" w:eastAsia="zh-CN"/>
        </w:rPr>
        <w:t xml:space="preserve"> </w:t>
      </w:r>
      <w:r w:rsidR="00F163A7" w:rsidRPr="00B424A1">
        <w:rPr>
          <w:rFonts w:ascii="Times New Roman" w:hAnsi="Times New Roman" w:cs="Times New Roman"/>
          <w:lang w:val="en-AU" w:eastAsia="zh-CN"/>
        </w:rPr>
        <w:t xml:space="preserve">general </w:t>
      </w:r>
      <w:r w:rsidR="003B4CC3">
        <w:rPr>
          <w:rFonts w:ascii="Times New Roman" w:hAnsi="Times New Roman" w:cs="Times New Roman"/>
          <w:lang w:val="en-AU" w:eastAsia="zh-CN"/>
        </w:rPr>
        <w:t>factor c</w:t>
      </w:r>
      <w:r w:rsidR="00F163A7" w:rsidRPr="00B424A1">
        <w:rPr>
          <w:rFonts w:ascii="Times New Roman" w:hAnsi="Times New Roman" w:cs="Times New Roman"/>
          <w:lang w:val="en-AU" w:eastAsia="zh-CN"/>
        </w:rPr>
        <w:t>onstant</w:t>
      </w:r>
      <w:r w:rsidR="003B4CC3">
        <w:rPr>
          <w:rFonts w:ascii="Times New Roman" w:hAnsi="Times New Roman" w:cs="Times New Roman"/>
          <w:lang w:val="en-AU" w:eastAsia="zh-CN"/>
        </w:rPr>
        <w:t xml:space="preserve">, accounting for </w:t>
      </w:r>
      <w:r w:rsidR="00EC14BB">
        <w:rPr>
          <w:rFonts w:ascii="Times New Roman" w:hAnsi="Times New Roman" w:cs="Times New Roman"/>
          <w:lang w:val="en-AU" w:eastAsia="zh-CN"/>
        </w:rPr>
        <w:t xml:space="preserve">only </w:t>
      </w:r>
      <w:r w:rsidR="00F163A7" w:rsidRPr="00B424A1">
        <w:rPr>
          <w:rFonts w:ascii="Times New Roman" w:hAnsi="Times New Roman" w:cs="Times New Roman"/>
          <w:lang w:val="en-AU" w:eastAsia="zh-CN"/>
        </w:rPr>
        <w:t xml:space="preserve">11–27% </w:t>
      </w:r>
      <w:r w:rsidR="003B4CC3">
        <w:rPr>
          <w:rFonts w:ascii="Times New Roman" w:hAnsi="Times New Roman" w:cs="Times New Roman"/>
          <w:lang w:val="en-AU" w:eastAsia="zh-CN"/>
        </w:rPr>
        <w:t xml:space="preserve">of </w:t>
      </w:r>
      <w:r w:rsidR="00F163A7" w:rsidRPr="00B424A1">
        <w:rPr>
          <w:rFonts w:ascii="Times New Roman" w:hAnsi="Times New Roman" w:cs="Times New Roman"/>
          <w:lang w:val="en-AU" w:eastAsia="zh-CN"/>
        </w:rPr>
        <w:t>residual systematic variance</w:t>
      </w:r>
      <w:r w:rsidR="003B4CC3">
        <w:rPr>
          <w:rFonts w:ascii="Times New Roman" w:hAnsi="Times New Roman" w:cs="Times New Roman"/>
          <w:lang w:val="en-AU" w:eastAsia="zh-CN"/>
        </w:rPr>
        <w:t xml:space="preserve"> in the subscale scores</w:t>
      </w:r>
      <w:r w:rsidR="00F163A7" w:rsidRPr="00B424A1">
        <w:rPr>
          <w:rFonts w:ascii="Times New Roman" w:hAnsi="Times New Roman" w:cs="Times New Roman"/>
          <w:lang w:val="en-AU" w:eastAsia="zh-CN"/>
        </w:rPr>
        <w:t xml:space="preserve">. </w:t>
      </w:r>
      <w:r w:rsidR="00443C90">
        <w:rPr>
          <w:rFonts w:ascii="Times New Roman" w:hAnsi="Times New Roman" w:cs="Times New Roman"/>
          <w:lang w:val="en-AU" w:eastAsia="zh-CN"/>
        </w:rPr>
        <w:t xml:space="preserve">Omitting the specific factors and instead treating the DASS21 as a unidimensional measure introduced minimal bias in parameter estimates. However, some multidimensionality was apparent when considering individual items, particularly from the depression scale. Additionally, </w:t>
      </w:r>
      <w:r w:rsidR="003B4CC3">
        <w:rPr>
          <w:rFonts w:ascii="Times New Roman" w:hAnsi="Times New Roman" w:cs="Times New Roman"/>
          <w:lang w:val="en-AU" w:eastAsia="zh-CN"/>
        </w:rPr>
        <w:t xml:space="preserve">first- and second-order factor models </w:t>
      </w:r>
      <w:r w:rsidR="00443C90">
        <w:rPr>
          <w:rFonts w:ascii="Times New Roman" w:hAnsi="Times New Roman" w:cs="Times New Roman"/>
        </w:rPr>
        <w:t>indicated that the</w:t>
      </w:r>
      <w:r w:rsidR="003B4CC3">
        <w:rPr>
          <w:rFonts w:ascii="Times New Roman" w:hAnsi="Times New Roman" w:cs="Times New Roman"/>
        </w:rPr>
        <w:t xml:space="preserve"> specific factors were</w:t>
      </w:r>
      <w:r w:rsidR="00D5004B">
        <w:rPr>
          <w:rFonts w:ascii="Times New Roman" w:hAnsi="Times New Roman" w:cs="Times New Roman"/>
        </w:rPr>
        <w:t xml:space="preserve"> not well-</w:t>
      </w:r>
      <w:r w:rsidR="003B4CC3">
        <w:rPr>
          <w:rFonts w:ascii="Times New Roman" w:hAnsi="Times New Roman" w:cs="Times New Roman"/>
        </w:rPr>
        <w:t xml:space="preserve">differentiated from one another </w:t>
      </w:r>
      <w:r w:rsidR="00D5004B">
        <w:rPr>
          <w:rFonts w:ascii="Times New Roman" w:hAnsi="Times New Roman" w:cs="Times New Roman"/>
        </w:rPr>
        <w:t>or</w:t>
      </w:r>
      <w:r w:rsidR="003B4CC3">
        <w:rPr>
          <w:rFonts w:ascii="Times New Roman" w:hAnsi="Times New Roman" w:cs="Times New Roman"/>
        </w:rPr>
        <w:t xml:space="preserve"> from the general factor. </w:t>
      </w:r>
      <w:r w:rsidR="003B4CC3" w:rsidRPr="00B424A1">
        <w:rPr>
          <w:rFonts w:ascii="Times New Roman" w:hAnsi="Times New Roman" w:cs="Times New Roman"/>
          <w:lang w:val="en-AU" w:eastAsia="zh-CN"/>
        </w:rPr>
        <w:t xml:space="preserve">These findings </w:t>
      </w:r>
      <w:r w:rsidR="00443C90">
        <w:rPr>
          <w:rFonts w:ascii="Times New Roman" w:hAnsi="Times New Roman" w:cs="Times New Roman"/>
          <w:lang w:val="en-AU" w:eastAsia="zh-CN"/>
        </w:rPr>
        <w:t xml:space="preserve">extended </w:t>
      </w:r>
      <w:r w:rsidR="003B4CC3" w:rsidRPr="00B424A1">
        <w:rPr>
          <w:rFonts w:ascii="Times New Roman" w:hAnsi="Times New Roman" w:cs="Times New Roman"/>
          <w:lang w:val="en-AU" w:eastAsia="zh-CN"/>
        </w:rPr>
        <w:t>to the DASS42.</w:t>
      </w:r>
      <w:r w:rsidR="003B4CC3">
        <w:rPr>
          <w:rFonts w:ascii="Times New Roman" w:hAnsi="Times New Roman" w:cs="Times New Roman"/>
          <w:lang w:val="en-AU" w:eastAsia="zh-CN"/>
        </w:rPr>
        <w:t xml:space="preserve"> In conclusion, scores o</w:t>
      </w:r>
      <w:r w:rsidR="00443C90">
        <w:rPr>
          <w:rFonts w:ascii="Times New Roman" w:hAnsi="Times New Roman" w:cs="Times New Roman"/>
          <w:lang w:val="en-AU" w:eastAsia="zh-CN"/>
        </w:rPr>
        <w:t>n</w:t>
      </w:r>
      <w:r w:rsidR="003B4CC3">
        <w:rPr>
          <w:rFonts w:ascii="Times New Roman" w:hAnsi="Times New Roman" w:cs="Times New Roman"/>
          <w:lang w:val="en-AU" w:eastAsia="zh-CN"/>
        </w:rPr>
        <w:t xml:space="preserve"> the DASS after TBI </w:t>
      </w:r>
      <w:r w:rsidR="00443C90">
        <w:rPr>
          <w:rFonts w:ascii="Times New Roman" w:hAnsi="Times New Roman" w:cs="Times New Roman"/>
          <w:lang w:val="en-AU" w:eastAsia="zh-CN"/>
        </w:rPr>
        <w:t>predominately</w:t>
      </w:r>
      <w:r w:rsidR="003B4CC3">
        <w:rPr>
          <w:rFonts w:ascii="Times New Roman" w:hAnsi="Times New Roman" w:cs="Times New Roman"/>
          <w:lang w:val="en-AU" w:eastAsia="zh-CN"/>
        </w:rPr>
        <w:t xml:space="preserve"> reflect a single underlying latent variable of general distress, </w:t>
      </w:r>
      <w:r w:rsidR="00443C90">
        <w:rPr>
          <w:rFonts w:ascii="Times New Roman" w:hAnsi="Times New Roman" w:cs="Times New Roman"/>
          <w:lang w:val="en-AU" w:eastAsia="zh-CN"/>
        </w:rPr>
        <w:t>providing support for using the</w:t>
      </w:r>
      <w:r w:rsidR="003B4CC3">
        <w:rPr>
          <w:rFonts w:ascii="Times New Roman" w:hAnsi="Times New Roman" w:cs="Times New Roman"/>
          <w:lang w:val="en-AU" w:eastAsia="zh-CN"/>
        </w:rPr>
        <w:t xml:space="preserve"> total score over the</w:t>
      </w:r>
      <w:r w:rsidR="00443C90">
        <w:rPr>
          <w:rFonts w:ascii="Times New Roman" w:hAnsi="Times New Roman" w:cs="Times New Roman"/>
          <w:lang w:val="en-AU" w:eastAsia="zh-CN"/>
        </w:rPr>
        <w:t xml:space="preserve"> three conventional scales.</w:t>
      </w:r>
    </w:p>
    <w:p w14:paraId="63192D03" w14:textId="65DDE8FE" w:rsidR="00143B1C" w:rsidRPr="00B424A1" w:rsidRDefault="00F163A7" w:rsidP="00F163A7">
      <w:pPr>
        <w:pStyle w:val="NoSpacing"/>
        <w:ind w:firstLine="720"/>
        <w:rPr>
          <w:rFonts w:asciiTheme="majorBidi" w:hAnsiTheme="majorBidi"/>
          <w:lang w:val="en-AU"/>
        </w:rPr>
      </w:pPr>
      <w:r w:rsidRPr="00B424A1">
        <w:rPr>
          <w:rFonts w:ascii="Times New Roman" w:hAnsi="Times New Roman" w:cs="Times New Roman"/>
          <w:i/>
          <w:iCs/>
          <w:lang w:val="en-AU"/>
        </w:rPr>
        <w:t>Keywords:</w:t>
      </w:r>
      <w:r w:rsidRPr="00B424A1">
        <w:rPr>
          <w:rFonts w:ascii="Times New Roman" w:hAnsi="Times New Roman" w:cs="Times New Roman"/>
          <w:lang w:val="en-AU"/>
        </w:rPr>
        <w:t xml:space="preserve"> </w:t>
      </w:r>
      <w:r w:rsidRPr="00B424A1">
        <w:rPr>
          <w:rFonts w:asciiTheme="majorBidi" w:hAnsiTheme="majorBidi"/>
          <w:lang w:val="en-AU"/>
        </w:rPr>
        <w:t>anxiety, bifactor model, confirmatory factor analysis, depression, general distress, reliability</w:t>
      </w:r>
      <w:r w:rsidRPr="00B424A1">
        <w:rPr>
          <w:rFonts w:asciiTheme="majorBidi" w:hAnsiTheme="majorBidi"/>
          <w:lang w:val="en-AU"/>
        </w:rPr>
        <w:br w:type="page"/>
      </w:r>
    </w:p>
    <w:p w14:paraId="3FDB6416" w14:textId="51FB4341" w:rsidR="00F163A7" w:rsidRPr="00F70CCE" w:rsidRDefault="00F163A7" w:rsidP="00F70CCE">
      <w:pPr>
        <w:widowControl w:val="0"/>
        <w:autoSpaceDE w:val="0"/>
        <w:autoSpaceDN w:val="0"/>
        <w:adjustRightInd w:val="0"/>
        <w:rPr>
          <w:rFonts w:ascii="Times New Roman" w:hAnsi="Times New Roman" w:cs="Times New Roman"/>
        </w:rPr>
      </w:pPr>
      <w:r w:rsidRPr="00B424A1">
        <w:rPr>
          <w:rFonts w:ascii="Times New Roman" w:hAnsi="Times New Roman" w:cs="Times New Roman"/>
        </w:rPr>
        <w:lastRenderedPageBreak/>
        <w:t>Individuals with traumatic brain injury (TBI) experience higher rates of mental health disorders, most commonly depressive (14–</w:t>
      </w:r>
      <w:r w:rsidRPr="00B424A1">
        <w:t xml:space="preserve">47%) </w:t>
      </w:r>
      <w:r w:rsidRPr="00B424A1">
        <w:rPr>
          <w:rFonts w:ascii="Times New Roman" w:hAnsi="Times New Roman" w:cs="Times New Roman"/>
        </w:rPr>
        <w:t xml:space="preserve">and anxiety disorders </w:t>
      </w:r>
      <w:r w:rsidRPr="00B424A1">
        <w:rPr>
          <w:rFonts w:ascii="Times New Roman" w:hAnsi="Times New Roman" w:cs="Times New Roman"/>
          <w:noProof/>
        </w:rPr>
        <w:t>(</w:t>
      </w:r>
      <w:r w:rsidRPr="00B424A1">
        <w:rPr>
          <w:rFonts w:ascii="Times New Roman" w:hAnsi="Times New Roman" w:cs="Times New Roman"/>
        </w:rPr>
        <w:t xml:space="preserve">2–38%; </w:t>
      </w:r>
      <w:r w:rsidR="00F70CCE">
        <w:rPr>
          <w:rFonts w:ascii="Times New Roman" w:hAnsi="Times New Roman" w:cs="Times New Roman"/>
        </w:rPr>
        <w:t xml:space="preserve">Alway et al., 2016; Osborn et al., 2014, 2016). </w:t>
      </w:r>
      <w:r w:rsidRPr="00B424A1">
        <w:rPr>
          <w:rFonts w:ascii="Times New Roman" w:hAnsi="Times New Roman" w:cs="Times New Roman"/>
        </w:rPr>
        <w:t>These disorders are highly comorbid after TBI (</w:t>
      </w:r>
      <w:r w:rsidRPr="00B424A1">
        <w:rPr>
          <w:rFonts w:ascii="Abadi" w:hAnsi="Abadi" w:cs="Times New Roman"/>
        </w:rPr>
        <w:t>~</w:t>
      </w:r>
      <w:r w:rsidRPr="00B424A1">
        <w:rPr>
          <w:rFonts w:ascii="Times New Roman" w:hAnsi="Times New Roman" w:cs="Times New Roman"/>
        </w:rPr>
        <w:t xml:space="preserve">70%; Alway et al., 2016; Gould et al., 2011b; Whelan-Goodinson et al., 2009) and are associated with poorer outcomes, including decreased </w:t>
      </w:r>
      <w:r w:rsidRPr="00B424A1">
        <w:rPr>
          <w:rFonts w:ascii="Times New Roman" w:hAnsi="Times New Roman" w:cs="Times New Roman"/>
          <w:noProof/>
        </w:rPr>
        <w:t xml:space="preserve">quality of life and reduced functional outcomes </w:t>
      </w:r>
      <w:r w:rsidR="00F70CCE">
        <w:rPr>
          <w:rFonts w:ascii="Times New Roman" w:hAnsi="Times New Roman" w:cs="Times New Roman"/>
          <w:noProof/>
        </w:rPr>
        <w:t xml:space="preserve">(Azouvi et al., 2016; Gould et al., 2011a; Grauwmeijer et al., 2018). </w:t>
      </w:r>
      <w:r w:rsidRPr="00B424A1">
        <w:rPr>
          <w:rFonts w:ascii="Times New Roman" w:hAnsi="Times New Roman" w:cs="Times New Roman"/>
        </w:rPr>
        <w:t>Emotional problems may be overlooked in early TBI rehabilitation (Andelic et al., 2021) and can persist for decades post-injury</w:t>
      </w:r>
      <w:r w:rsidR="00F70CCE">
        <w:rPr>
          <w:rFonts w:ascii="Times New Roman" w:hAnsi="Times New Roman" w:cs="Times New Roman"/>
        </w:rPr>
        <w:t xml:space="preserve"> (Andelic et al., 2018; Koponen et al., 2002).</w:t>
      </w:r>
    </w:p>
    <w:p w14:paraId="7E4DAB8B" w14:textId="50A56C6A" w:rsidR="006D1B7D" w:rsidRPr="00F70CCE" w:rsidRDefault="00F163A7" w:rsidP="00F70CCE">
      <w:pPr>
        <w:widowControl w:val="0"/>
        <w:autoSpaceDE w:val="0"/>
        <w:autoSpaceDN w:val="0"/>
        <w:adjustRightInd w:val="0"/>
        <w:rPr>
          <w:rFonts w:ascii="Times New Roman" w:hAnsi="Times New Roman" w:cs="Times New Roman"/>
        </w:rPr>
      </w:pPr>
      <w:r w:rsidRPr="00B424A1">
        <w:t>Early post-injury identification of individuals experiencing depressive and anxiety disorders is important for accessing timely treatment.</w:t>
      </w:r>
      <w:r w:rsidR="00E319D6" w:rsidRPr="00B424A1">
        <w:t xml:space="preserve"> </w:t>
      </w:r>
      <w:r w:rsidR="00834869" w:rsidRPr="00B424A1">
        <w:t>S</w:t>
      </w:r>
      <w:r w:rsidR="00DA7A23" w:rsidRPr="00B424A1">
        <w:t>hort</w:t>
      </w:r>
      <w:r w:rsidR="00834869" w:rsidRPr="00B424A1">
        <w:t xml:space="preserve"> </w:t>
      </w:r>
      <w:r w:rsidR="00DA7A23" w:rsidRPr="00B424A1">
        <w:t>self-report questionnaires</w:t>
      </w:r>
      <w:r w:rsidR="00DA7A23" w:rsidRPr="00B424A1">
        <w:rPr>
          <w:rFonts w:ascii="Times New Roman" w:hAnsi="Times New Roman" w:cs="Times New Roman"/>
        </w:rPr>
        <w:t xml:space="preserve"> </w:t>
      </w:r>
      <w:r w:rsidR="00DA7A23" w:rsidRPr="00B424A1">
        <w:t xml:space="preserve">are more </w:t>
      </w:r>
      <w:r w:rsidR="00834869" w:rsidRPr="00B424A1">
        <w:t xml:space="preserve">convenient and </w:t>
      </w:r>
      <w:r w:rsidR="00DA7A23" w:rsidRPr="00B424A1">
        <w:t xml:space="preserve">commonly employed than </w:t>
      </w:r>
      <w:r w:rsidR="00834869" w:rsidRPr="00B424A1">
        <w:t xml:space="preserve">structured </w:t>
      </w:r>
      <w:r w:rsidR="00DA7A23" w:rsidRPr="00B424A1">
        <w:t xml:space="preserve">clinical interviews </w:t>
      </w:r>
      <w:r w:rsidR="00B06C0C" w:rsidRPr="00B424A1">
        <w:rPr>
          <w:noProof/>
        </w:rPr>
        <w:t xml:space="preserve">to </w:t>
      </w:r>
      <w:r w:rsidR="00DA7A23" w:rsidRPr="00B424A1">
        <w:rPr>
          <w:rFonts w:ascii="Times New Roman" w:hAnsi="Times New Roman" w:cs="Times New Roman"/>
        </w:rPr>
        <w:t xml:space="preserve">identify </w:t>
      </w:r>
      <w:r w:rsidR="005A682E">
        <w:rPr>
          <w:rFonts w:ascii="Times New Roman" w:hAnsi="Times New Roman" w:cs="Times New Roman"/>
        </w:rPr>
        <w:t xml:space="preserve">problems with </w:t>
      </w:r>
      <w:r w:rsidR="00834869" w:rsidRPr="00B424A1">
        <w:rPr>
          <w:rFonts w:ascii="Times New Roman" w:hAnsi="Times New Roman" w:cs="Times New Roman"/>
        </w:rPr>
        <w:t>depression and anxiety after TBI</w:t>
      </w:r>
      <w:r w:rsidR="00F70CCE">
        <w:rPr>
          <w:rFonts w:ascii="Times New Roman" w:hAnsi="Times New Roman" w:cs="Times New Roman"/>
        </w:rPr>
        <w:t xml:space="preserve"> (Osborn et al., 2014, 2016). </w:t>
      </w:r>
      <w:r w:rsidR="00AF7F05" w:rsidRPr="00B424A1">
        <w:t>T</w:t>
      </w:r>
      <w:r w:rsidR="00F601F7" w:rsidRPr="00B424A1">
        <w:t>he Depression Anxiety Stress Scales (DASS</w:t>
      </w:r>
      <w:r w:rsidR="00306AE2" w:rsidRPr="00B424A1">
        <w:t xml:space="preserve">; </w:t>
      </w:r>
      <w:r w:rsidR="00306AE2" w:rsidRPr="00B424A1">
        <w:rPr>
          <w:noProof/>
        </w:rPr>
        <w:t>Lovibond &amp; Lovibond, 1995</w:t>
      </w:r>
      <w:r w:rsidR="00E07E11" w:rsidRPr="00B424A1">
        <w:rPr>
          <w:noProof/>
        </w:rPr>
        <w:t>a</w:t>
      </w:r>
      <w:r w:rsidR="000757D9" w:rsidRPr="00B424A1">
        <w:t>)</w:t>
      </w:r>
      <w:r w:rsidR="00AF7F05" w:rsidRPr="00B424A1">
        <w:t xml:space="preserve"> </w:t>
      </w:r>
      <w:r w:rsidR="00272977" w:rsidRPr="00B424A1">
        <w:t>are</w:t>
      </w:r>
      <w:r w:rsidR="00EA2987" w:rsidRPr="00B424A1">
        <w:t xml:space="preserve"> </w:t>
      </w:r>
      <w:r w:rsidR="00456E0F" w:rsidRPr="00B424A1">
        <w:t>a popular</w:t>
      </w:r>
      <w:r w:rsidR="00AF7F05" w:rsidRPr="00B424A1">
        <w:t xml:space="preserve"> screening tool</w:t>
      </w:r>
      <w:r w:rsidR="00944AFA" w:rsidRPr="00B424A1">
        <w:t>, with shorter (</w:t>
      </w:r>
      <w:r w:rsidR="00080556" w:rsidRPr="00B424A1">
        <w:t>DASS21</w:t>
      </w:r>
      <w:r w:rsidR="00944AFA" w:rsidRPr="00B424A1">
        <w:t>) and longer (</w:t>
      </w:r>
      <w:r w:rsidR="00080556" w:rsidRPr="00B424A1">
        <w:t>DASS42</w:t>
      </w:r>
      <w:r w:rsidR="00944AFA" w:rsidRPr="00B424A1">
        <w:t>) versions.</w:t>
      </w:r>
      <w:r w:rsidR="00AF7F05" w:rsidRPr="00B424A1">
        <w:t xml:space="preserve"> </w:t>
      </w:r>
      <w:r w:rsidR="00162750">
        <w:t xml:space="preserve">Albeit not a diagnostic tool, the </w:t>
      </w:r>
      <w:r w:rsidR="00912EAC" w:rsidRPr="00B424A1">
        <w:t xml:space="preserve">DASS </w:t>
      </w:r>
      <w:r w:rsidR="00590536" w:rsidRPr="00B424A1">
        <w:t xml:space="preserve">comprises three scales </w:t>
      </w:r>
      <w:r w:rsidR="00C36191">
        <w:t xml:space="preserve">used to </w:t>
      </w:r>
      <w:r w:rsidR="00590536" w:rsidRPr="00B424A1">
        <w:t xml:space="preserve">measure </w:t>
      </w:r>
      <w:r w:rsidR="0029210D" w:rsidRPr="00B424A1">
        <w:t xml:space="preserve">levels of </w:t>
      </w:r>
      <w:r w:rsidR="00912EAC" w:rsidRPr="00B424A1">
        <w:rPr>
          <w:rFonts w:ascii="Times New Roman" w:hAnsi="Times New Roman" w:cs="Times New Roman"/>
        </w:rPr>
        <w:t>depressi</w:t>
      </w:r>
      <w:r w:rsidR="00162750">
        <w:rPr>
          <w:rFonts w:ascii="Times New Roman" w:hAnsi="Times New Roman" w:cs="Times New Roman"/>
        </w:rPr>
        <w:t>on</w:t>
      </w:r>
      <w:r w:rsidR="00912EAC" w:rsidRPr="00B424A1">
        <w:rPr>
          <w:rFonts w:ascii="Times New Roman" w:hAnsi="Times New Roman" w:cs="Times New Roman"/>
        </w:rPr>
        <w:t>, anxiety, and stress</w:t>
      </w:r>
      <w:r w:rsidR="00162750">
        <w:rPr>
          <w:rFonts w:ascii="Times New Roman" w:hAnsi="Times New Roman" w:cs="Times New Roman"/>
        </w:rPr>
        <w:t xml:space="preserve"> symptoms, </w:t>
      </w:r>
      <w:r w:rsidR="00162750" w:rsidRPr="00B424A1">
        <w:rPr>
          <w:rFonts w:ascii="Times New Roman" w:hAnsi="Times New Roman" w:cs="Times New Roman"/>
        </w:rPr>
        <w:t>with higher score</w:t>
      </w:r>
      <w:r w:rsidR="001802A8">
        <w:rPr>
          <w:rFonts w:ascii="Times New Roman" w:hAnsi="Times New Roman" w:cs="Times New Roman"/>
        </w:rPr>
        <w:t>s</w:t>
      </w:r>
      <w:r w:rsidR="00162750" w:rsidRPr="00B424A1">
        <w:rPr>
          <w:rFonts w:ascii="Times New Roman" w:hAnsi="Times New Roman" w:cs="Times New Roman"/>
        </w:rPr>
        <w:t xml:space="preserve"> indicating higher risk for </w:t>
      </w:r>
      <w:r w:rsidR="00162750">
        <w:rPr>
          <w:rFonts w:ascii="Times New Roman" w:hAnsi="Times New Roman" w:cs="Times New Roman"/>
        </w:rPr>
        <w:t>emotional</w:t>
      </w:r>
      <w:r w:rsidR="00162750" w:rsidRPr="00B424A1">
        <w:rPr>
          <w:rFonts w:ascii="Times New Roman" w:hAnsi="Times New Roman" w:cs="Times New Roman"/>
        </w:rPr>
        <w:t xml:space="preserve"> disorders</w:t>
      </w:r>
      <w:r w:rsidR="00912EAC" w:rsidRPr="00B424A1">
        <w:rPr>
          <w:rFonts w:ascii="Times New Roman" w:hAnsi="Times New Roman" w:cs="Times New Roman"/>
          <w:noProof/>
        </w:rPr>
        <w:t xml:space="preserve"> </w:t>
      </w:r>
      <w:r w:rsidR="00912EAC" w:rsidRPr="00B424A1">
        <w:rPr>
          <w:rFonts w:ascii="Times New Roman" w:hAnsi="Times New Roman" w:cs="Times New Roman"/>
          <w:lang w:val="en-GB"/>
        </w:rPr>
        <w:t>(Lovibond &amp; Lovibond, 1995b)</w:t>
      </w:r>
      <w:r w:rsidR="00912EAC" w:rsidRPr="00B424A1">
        <w:rPr>
          <w:rFonts w:ascii="Times New Roman" w:hAnsi="Times New Roman" w:cs="Times New Roman"/>
        </w:rPr>
        <w:t>.</w:t>
      </w:r>
      <w:r w:rsidR="00912EAC" w:rsidRPr="00B424A1">
        <w:t xml:space="preserve"> </w:t>
      </w:r>
      <w:r w:rsidR="001777AA" w:rsidRPr="00B424A1">
        <w:t>Whil</w:t>
      </w:r>
      <w:r w:rsidR="00C36191">
        <w:t>e</w:t>
      </w:r>
      <w:r w:rsidR="001777AA" w:rsidRPr="00B424A1">
        <w:t xml:space="preserve"> the </w:t>
      </w:r>
      <w:r w:rsidR="00162750">
        <w:t xml:space="preserve">three </w:t>
      </w:r>
      <w:r w:rsidR="001777AA" w:rsidRPr="00B424A1">
        <w:t>scales are theoretically an</w:t>
      </w:r>
      <w:r w:rsidR="00162750">
        <w:t>d statistically related</w:t>
      </w:r>
      <w:r w:rsidR="001777AA" w:rsidRPr="00B424A1">
        <w:t>,</w:t>
      </w:r>
      <w:r w:rsidR="009B45BC" w:rsidRPr="00B424A1">
        <w:t xml:space="preserve"> </w:t>
      </w:r>
      <w:r w:rsidR="00162750">
        <w:rPr>
          <w:rFonts w:ascii="Times New Roman" w:hAnsi="Times New Roman" w:cs="Times New Roman"/>
        </w:rPr>
        <w:t>separate</w:t>
      </w:r>
      <w:r w:rsidR="000C2D54" w:rsidRPr="00B424A1">
        <w:rPr>
          <w:rFonts w:ascii="Times New Roman" w:hAnsi="Times New Roman" w:cs="Times New Roman"/>
        </w:rPr>
        <w:t xml:space="preserve"> </w:t>
      </w:r>
      <w:r w:rsidR="006E31EA" w:rsidRPr="00B424A1">
        <w:rPr>
          <w:rFonts w:ascii="Times New Roman" w:hAnsi="Times New Roman" w:cs="Times New Roman"/>
        </w:rPr>
        <w:t>scores</w:t>
      </w:r>
      <w:r w:rsidR="00233CA7" w:rsidRPr="00B424A1">
        <w:rPr>
          <w:rFonts w:ascii="Times New Roman" w:hAnsi="Times New Roman" w:cs="Times New Roman"/>
        </w:rPr>
        <w:t xml:space="preserve"> </w:t>
      </w:r>
      <w:r w:rsidR="009B45BC" w:rsidRPr="00B424A1">
        <w:rPr>
          <w:rFonts w:ascii="Times New Roman" w:hAnsi="Times New Roman" w:cs="Times New Roman"/>
        </w:rPr>
        <w:t>for depression, anxiety</w:t>
      </w:r>
      <w:r w:rsidR="00A633C2">
        <w:rPr>
          <w:rFonts w:ascii="Times New Roman" w:hAnsi="Times New Roman" w:cs="Times New Roman"/>
        </w:rPr>
        <w:t>,</w:t>
      </w:r>
      <w:r w:rsidR="009B45BC" w:rsidRPr="00B424A1">
        <w:rPr>
          <w:rFonts w:ascii="Times New Roman" w:hAnsi="Times New Roman" w:cs="Times New Roman"/>
        </w:rPr>
        <w:t xml:space="preserve"> and stress </w:t>
      </w:r>
      <w:r w:rsidR="00265A4B" w:rsidRPr="00B424A1">
        <w:rPr>
          <w:rFonts w:ascii="Times New Roman" w:hAnsi="Times New Roman" w:cs="Times New Roman"/>
        </w:rPr>
        <w:t xml:space="preserve">are </w:t>
      </w:r>
      <w:r w:rsidR="000878EE" w:rsidRPr="00B424A1">
        <w:rPr>
          <w:rFonts w:ascii="Times New Roman" w:hAnsi="Times New Roman" w:cs="Times New Roman"/>
        </w:rPr>
        <w:t xml:space="preserve">typically </w:t>
      </w:r>
      <w:r w:rsidR="00162750">
        <w:rPr>
          <w:rFonts w:ascii="Times New Roman" w:hAnsi="Times New Roman" w:cs="Times New Roman"/>
        </w:rPr>
        <w:t>used</w:t>
      </w:r>
      <w:r w:rsidR="00C36191">
        <w:rPr>
          <w:rFonts w:ascii="Times New Roman" w:hAnsi="Times New Roman" w:cs="Times New Roman"/>
        </w:rPr>
        <w:t xml:space="preserve"> </w:t>
      </w:r>
      <w:r w:rsidR="006E31EA" w:rsidRPr="00B424A1">
        <w:rPr>
          <w:rFonts w:ascii="Times New Roman" w:hAnsi="Times New Roman" w:cs="Times New Roman"/>
          <w:noProof/>
        </w:rPr>
        <w:t>(Lovibond &amp; Lovibond, 1995</w:t>
      </w:r>
      <w:r w:rsidR="002B1506" w:rsidRPr="00B424A1">
        <w:rPr>
          <w:rFonts w:ascii="Times New Roman" w:hAnsi="Times New Roman" w:cs="Times New Roman"/>
          <w:noProof/>
        </w:rPr>
        <w:t>a</w:t>
      </w:r>
      <w:r w:rsidR="006E31EA" w:rsidRPr="00B424A1">
        <w:rPr>
          <w:rFonts w:ascii="Times New Roman" w:hAnsi="Times New Roman" w:cs="Times New Roman"/>
          <w:noProof/>
        </w:rPr>
        <w:t>)</w:t>
      </w:r>
      <w:r w:rsidR="006E31EA" w:rsidRPr="00B424A1">
        <w:rPr>
          <w:rFonts w:ascii="Times New Roman" w:hAnsi="Times New Roman" w:cs="Times New Roman"/>
        </w:rPr>
        <w:t xml:space="preserve">. </w:t>
      </w:r>
      <w:r w:rsidR="00162750">
        <w:rPr>
          <w:rFonts w:ascii="Times New Roman" w:hAnsi="Times New Roman" w:cs="Times New Roman"/>
        </w:rPr>
        <w:t>The</w:t>
      </w:r>
      <w:r w:rsidR="00035B1B" w:rsidRPr="00B424A1">
        <w:rPr>
          <w:rFonts w:ascii="Times New Roman" w:hAnsi="Times New Roman" w:cs="Times New Roman"/>
        </w:rPr>
        <w:t xml:space="preserve"> </w:t>
      </w:r>
      <w:r w:rsidR="00BB05C7" w:rsidRPr="00B424A1">
        <w:rPr>
          <w:rFonts w:ascii="Times New Roman" w:hAnsi="Times New Roman" w:cs="Times New Roman"/>
        </w:rPr>
        <w:t xml:space="preserve">DASS anxiety </w:t>
      </w:r>
      <w:r w:rsidR="0076171B" w:rsidRPr="00B424A1">
        <w:rPr>
          <w:rFonts w:ascii="Times New Roman" w:hAnsi="Times New Roman" w:cs="Times New Roman"/>
        </w:rPr>
        <w:t xml:space="preserve">and depression </w:t>
      </w:r>
      <w:r w:rsidR="00BB05C7" w:rsidRPr="00B424A1">
        <w:rPr>
          <w:rFonts w:ascii="Times New Roman" w:hAnsi="Times New Roman" w:cs="Times New Roman"/>
        </w:rPr>
        <w:t>scale</w:t>
      </w:r>
      <w:r w:rsidR="0076171B" w:rsidRPr="00B424A1">
        <w:rPr>
          <w:rFonts w:ascii="Times New Roman" w:hAnsi="Times New Roman" w:cs="Times New Roman"/>
        </w:rPr>
        <w:t>s</w:t>
      </w:r>
      <w:r w:rsidR="00BB05C7" w:rsidRPr="00B424A1">
        <w:rPr>
          <w:rFonts w:ascii="Times New Roman" w:hAnsi="Times New Roman" w:cs="Times New Roman"/>
        </w:rPr>
        <w:t xml:space="preserve"> ha</w:t>
      </w:r>
      <w:r w:rsidR="0076171B" w:rsidRPr="00B424A1">
        <w:rPr>
          <w:rFonts w:ascii="Times New Roman" w:hAnsi="Times New Roman" w:cs="Times New Roman"/>
        </w:rPr>
        <w:t>ve</w:t>
      </w:r>
      <w:r w:rsidR="00BB05C7" w:rsidRPr="00B424A1">
        <w:rPr>
          <w:rFonts w:ascii="Times New Roman" w:hAnsi="Times New Roman" w:cs="Times New Roman"/>
        </w:rPr>
        <w:t xml:space="preserve"> </w:t>
      </w:r>
      <w:r w:rsidR="0030497C">
        <w:rPr>
          <w:rFonts w:ascii="Times New Roman" w:hAnsi="Times New Roman" w:cs="Times New Roman"/>
        </w:rPr>
        <w:t>demonstrate</w:t>
      </w:r>
      <w:r w:rsidR="005A682E">
        <w:rPr>
          <w:rFonts w:ascii="Times New Roman" w:hAnsi="Times New Roman" w:cs="Times New Roman"/>
        </w:rPr>
        <w:t>d</w:t>
      </w:r>
      <w:r w:rsidR="0030497C">
        <w:rPr>
          <w:rFonts w:ascii="Times New Roman" w:hAnsi="Times New Roman" w:cs="Times New Roman"/>
        </w:rPr>
        <w:t xml:space="preserve"> </w:t>
      </w:r>
      <w:r w:rsidR="00BB05C7" w:rsidRPr="00B424A1">
        <w:rPr>
          <w:rFonts w:ascii="Times New Roman" w:hAnsi="Times New Roman" w:cs="Times New Roman"/>
        </w:rPr>
        <w:t xml:space="preserve">convergent </w:t>
      </w:r>
      <w:r w:rsidR="00B804B6" w:rsidRPr="00B424A1">
        <w:rPr>
          <w:rFonts w:ascii="Times New Roman" w:hAnsi="Times New Roman" w:cs="Times New Roman"/>
        </w:rPr>
        <w:t xml:space="preserve">(Beck Anxiety Inventory </w:t>
      </w:r>
      <w:r w:rsidR="00B804B6" w:rsidRPr="00B424A1">
        <w:rPr>
          <w:rFonts w:ascii="Times New Roman" w:hAnsi="Times New Roman" w:cs="Times New Roman"/>
          <w:i/>
          <w:iCs/>
        </w:rPr>
        <w:t>r</w:t>
      </w:r>
      <w:r w:rsidR="00B804B6" w:rsidRPr="00B424A1">
        <w:rPr>
          <w:rFonts w:ascii="Times New Roman" w:hAnsi="Times New Roman" w:cs="Times New Roman"/>
        </w:rPr>
        <w:t xml:space="preserve"> = .81; Beck Depression Inventory </w:t>
      </w:r>
      <w:r w:rsidR="00B804B6" w:rsidRPr="00B424A1">
        <w:rPr>
          <w:rFonts w:ascii="Times New Roman" w:hAnsi="Times New Roman" w:cs="Times New Roman"/>
          <w:i/>
          <w:iCs/>
        </w:rPr>
        <w:t>r</w:t>
      </w:r>
      <w:r w:rsidR="00B804B6" w:rsidRPr="00B424A1">
        <w:rPr>
          <w:rFonts w:ascii="Times New Roman" w:hAnsi="Times New Roman" w:cs="Times New Roman"/>
        </w:rPr>
        <w:t xml:space="preserve"> = .74</w:t>
      </w:r>
      <w:r w:rsidR="00162750">
        <w:rPr>
          <w:rFonts w:ascii="Times New Roman" w:hAnsi="Times New Roman" w:cs="Times New Roman"/>
        </w:rPr>
        <w:t>, respectively</w:t>
      </w:r>
      <w:r w:rsidR="00B804B6" w:rsidRPr="00B424A1">
        <w:rPr>
          <w:rFonts w:ascii="Times New Roman" w:hAnsi="Times New Roman" w:cs="Times New Roman"/>
        </w:rPr>
        <w:t xml:space="preserve">) and discriminant </w:t>
      </w:r>
      <w:r w:rsidR="00BB05C7" w:rsidRPr="00B424A1">
        <w:rPr>
          <w:rFonts w:ascii="Times New Roman" w:hAnsi="Times New Roman" w:cs="Times New Roman"/>
        </w:rPr>
        <w:t xml:space="preserve">validity </w:t>
      </w:r>
      <w:r w:rsidR="00B804B6" w:rsidRPr="00B424A1">
        <w:rPr>
          <w:rFonts w:ascii="Times New Roman" w:hAnsi="Times New Roman" w:cs="Times New Roman"/>
        </w:rPr>
        <w:t>(</w:t>
      </w:r>
      <w:r w:rsidR="00BA1898" w:rsidRPr="00B424A1">
        <w:rPr>
          <w:rFonts w:ascii="Times New Roman" w:hAnsi="Times New Roman" w:cs="Times New Roman"/>
        </w:rPr>
        <w:t xml:space="preserve">Beck Anxiety Inventory </w:t>
      </w:r>
      <w:r w:rsidR="00BA1898" w:rsidRPr="00B424A1">
        <w:rPr>
          <w:rFonts w:ascii="Times New Roman" w:hAnsi="Times New Roman" w:cs="Times New Roman"/>
          <w:i/>
          <w:iCs/>
        </w:rPr>
        <w:t>r</w:t>
      </w:r>
      <w:r w:rsidR="00BA1898" w:rsidRPr="00B424A1">
        <w:rPr>
          <w:rFonts w:ascii="Times New Roman" w:hAnsi="Times New Roman" w:cs="Times New Roman"/>
        </w:rPr>
        <w:t xml:space="preserve"> = .58; Beck Depression Inventory </w:t>
      </w:r>
      <w:r w:rsidR="00BA1898" w:rsidRPr="00B424A1">
        <w:rPr>
          <w:rFonts w:ascii="Times New Roman" w:hAnsi="Times New Roman" w:cs="Times New Roman"/>
          <w:i/>
          <w:iCs/>
        </w:rPr>
        <w:t>r</w:t>
      </w:r>
      <w:r w:rsidR="00BA1898" w:rsidRPr="00B424A1">
        <w:rPr>
          <w:rFonts w:ascii="Times New Roman" w:hAnsi="Times New Roman" w:cs="Times New Roman"/>
        </w:rPr>
        <w:t xml:space="preserve"> = .54</w:t>
      </w:r>
      <w:r w:rsidR="00162750">
        <w:rPr>
          <w:rFonts w:ascii="Times New Roman" w:hAnsi="Times New Roman" w:cs="Times New Roman"/>
        </w:rPr>
        <w:t>, respectively</w:t>
      </w:r>
      <w:r w:rsidR="00B804B6" w:rsidRPr="00B424A1">
        <w:rPr>
          <w:rFonts w:ascii="Times New Roman" w:hAnsi="Times New Roman" w:cs="Times New Roman"/>
        </w:rPr>
        <w:t xml:space="preserve">) </w:t>
      </w:r>
      <w:r w:rsidR="0030497C">
        <w:rPr>
          <w:rFonts w:ascii="Times New Roman" w:hAnsi="Times New Roman" w:cs="Times New Roman"/>
        </w:rPr>
        <w:t>compared with similar scales</w:t>
      </w:r>
      <w:r w:rsidR="00C06227" w:rsidRPr="00B424A1">
        <w:rPr>
          <w:rFonts w:ascii="Times New Roman" w:hAnsi="Times New Roman" w:cs="Times New Roman"/>
        </w:rPr>
        <w:t xml:space="preserve"> </w:t>
      </w:r>
      <w:r w:rsidR="00A15E6E" w:rsidRPr="00B424A1">
        <w:rPr>
          <w:rFonts w:ascii="Times New Roman" w:hAnsi="Times New Roman" w:cs="Times New Roman"/>
        </w:rPr>
        <w:t>(</w:t>
      </w:r>
      <w:r w:rsidR="00A15E6E" w:rsidRPr="00B424A1">
        <w:rPr>
          <w:rFonts w:ascii="Times New Roman" w:hAnsi="Times New Roman" w:cs="Times New Roman"/>
          <w:noProof/>
        </w:rPr>
        <w:t>Lovibond &amp; Lovibond, 1995a)</w:t>
      </w:r>
      <w:r w:rsidR="00B804B6" w:rsidRPr="00B424A1">
        <w:rPr>
          <w:rFonts w:ascii="Times New Roman" w:hAnsi="Times New Roman" w:cs="Times New Roman"/>
        </w:rPr>
        <w:t xml:space="preserve">. </w:t>
      </w:r>
    </w:p>
    <w:p w14:paraId="7C0517D2" w14:textId="74340965" w:rsidR="008F17D2" w:rsidRPr="00F70CCE" w:rsidRDefault="00255C22" w:rsidP="00F70CCE">
      <w:pPr>
        <w:widowControl w:val="0"/>
        <w:autoSpaceDE w:val="0"/>
        <w:autoSpaceDN w:val="0"/>
        <w:adjustRightInd w:val="0"/>
      </w:pPr>
      <w:r>
        <w:rPr>
          <w:rFonts w:ascii="Times New Roman" w:hAnsi="Times New Roman" w:cs="Times New Roman"/>
        </w:rPr>
        <w:t xml:space="preserve">In </w:t>
      </w:r>
      <w:r w:rsidR="00944AFA" w:rsidRPr="00B424A1">
        <w:rPr>
          <w:rFonts w:ascii="Times New Roman" w:hAnsi="Times New Roman" w:cs="Times New Roman"/>
        </w:rPr>
        <w:t xml:space="preserve">a TBI </w:t>
      </w:r>
      <w:r w:rsidR="004D358A" w:rsidRPr="00B424A1">
        <w:rPr>
          <w:rFonts w:ascii="Times New Roman" w:hAnsi="Times New Roman" w:cs="Times New Roman"/>
        </w:rPr>
        <w:t>sample</w:t>
      </w:r>
      <w:r w:rsidR="00944AFA" w:rsidRPr="00B424A1">
        <w:rPr>
          <w:rFonts w:ascii="Times New Roman" w:hAnsi="Times New Roman" w:cs="Times New Roman"/>
        </w:rPr>
        <w:t xml:space="preserve">, </w:t>
      </w:r>
      <w:r w:rsidR="001D77D1">
        <w:rPr>
          <w:rFonts w:ascii="Times New Roman" w:hAnsi="Times New Roman" w:cs="Times New Roman"/>
        </w:rPr>
        <w:t xml:space="preserve">the exploratory factor structure of the DASS42 broadly aligned with the conventional three-factor scoring, whereas results for the DASS21 did not closely correspond </w:t>
      </w:r>
      <w:r w:rsidR="001D77D1" w:rsidRPr="00B424A1">
        <w:rPr>
          <w:rFonts w:ascii="Times New Roman" w:hAnsi="Times New Roman" w:cs="Times New Roman"/>
        </w:rPr>
        <w:t>(Wong et al., 2013)</w:t>
      </w:r>
      <w:r w:rsidR="001D77D1">
        <w:rPr>
          <w:rFonts w:ascii="Times New Roman" w:hAnsi="Times New Roman" w:cs="Times New Roman"/>
        </w:rPr>
        <w:t xml:space="preserve">. For example, four items from the DASS21 stress scale </w:t>
      </w:r>
      <w:r w:rsidR="001D77D1">
        <w:rPr>
          <w:rFonts w:ascii="Times New Roman" w:hAnsi="Times New Roman" w:cs="Times New Roman"/>
        </w:rPr>
        <w:lastRenderedPageBreak/>
        <w:t xml:space="preserve">loaded primarily on the same factor as all depression items. In this same TBI sample, </w:t>
      </w:r>
      <w:r w:rsidR="000A386A">
        <w:t>the</w:t>
      </w:r>
      <w:r w:rsidR="000A386A" w:rsidRPr="00B424A1">
        <w:t xml:space="preserve"> depression and </w:t>
      </w:r>
      <w:r w:rsidR="00D315A8" w:rsidRPr="00B424A1">
        <w:t>stress</w:t>
      </w:r>
      <w:r w:rsidR="000A386A" w:rsidRPr="00B424A1">
        <w:t xml:space="preserve"> scales were both high</w:t>
      </w:r>
      <w:r w:rsidR="00315DD1" w:rsidRPr="00B424A1">
        <w:t xml:space="preserve">ly sensitive </w:t>
      </w:r>
      <w:r w:rsidR="0029660F" w:rsidRPr="00B424A1">
        <w:t xml:space="preserve">to </w:t>
      </w:r>
      <w:r w:rsidR="00315DD1" w:rsidRPr="00B424A1">
        <w:t>mood and anxiety disorders</w:t>
      </w:r>
      <w:r w:rsidR="001D77D1">
        <w:t xml:space="preserve"> diagnosed via structured clinical interview</w:t>
      </w:r>
      <w:r w:rsidR="00315DD1" w:rsidRPr="00B424A1">
        <w:t>, whil</w:t>
      </w:r>
      <w:r w:rsidR="00295486" w:rsidRPr="00B424A1">
        <w:t>e</w:t>
      </w:r>
      <w:r w:rsidR="00315DD1" w:rsidRPr="00B424A1">
        <w:t xml:space="preserve"> the anxiety scale had a higher sensitivity</w:t>
      </w:r>
      <w:r w:rsidR="00015355" w:rsidRPr="00B424A1">
        <w:t xml:space="preserve"> </w:t>
      </w:r>
      <w:r w:rsidR="0029660F" w:rsidRPr="00B424A1">
        <w:t>for predicting a mood disorder than an anxiety disorder</w:t>
      </w:r>
      <w:r w:rsidR="00F70CCE">
        <w:t xml:space="preserve"> (Dahm et al., 2013). </w:t>
      </w:r>
      <w:r w:rsidR="006D7BC2" w:rsidRPr="00B424A1">
        <w:t>Th</w:t>
      </w:r>
      <w:r w:rsidR="001D77D1">
        <w:t xml:space="preserve">ese findings </w:t>
      </w:r>
      <w:r w:rsidR="00162750">
        <w:t xml:space="preserve">raise doubts about </w:t>
      </w:r>
      <w:r w:rsidR="006D7BC2" w:rsidRPr="00B424A1">
        <w:t>whether the</w:t>
      </w:r>
      <w:r w:rsidR="00F86B9F" w:rsidRPr="00B424A1">
        <w:t xml:space="preserve"> DASS</w:t>
      </w:r>
      <w:r w:rsidR="00786063" w:rsidRPr="00B424A1">
        <w:t xml:space="preserve"> </w:t>
      </w:r>
      <w:r w:rsidR="006D7BC2" w:rsidRPr="00B424A1">
        <w:t>can</w:t>
      </w:r>
      <w:r w:rsidR="008F17D2" w:rsidRPr="00B424A1">
        <w:t xml:space="preserve"> </w:t>
      </w:r>
      <w:r w:rsidR="009B2BD0" w:rsidRPr="00B424A1">
        <w:t xml:space="preserve">reliably </w:t>
      </w:r>
      <w:r w:rsidR="00162750">
        <w:t xml:space="preserve">discriminate between </w:t>
      </w:r>
      <w:r w:rsidR="00F86B9F" w:rsidRPr="00B424A1">
        <w:t>depression and anxiety</w:t>
      </w:r>
      <w:r>
        <w:t xml:space="preserve"> symptoms</w:t>
      </w:r>
      <w:r w:rsidR="00F86B9F" w:rsidRPr="00B424A1">
        <w:t xml:space="preserve"> </w:t>
      </w:r>
      <w:r w:rsidR="006A2049" w:rsidRPr="00B424A1">
        <w:t xml:space="preserve">as </w:t>
      </w:r>
      <w:r w:rsidR="00586C2C" w:rsidRPr="00B424A1">
        <w:t>dis</w:t>
      </w:r>
      <w:r w:rsidR="009B2BD0" w:rsidRPr="00B424A1">
        <w:t>crete</w:t>
      </w:r>
      <w:r w:rsidR="006A2049" w:rsidRPr="00B424A1">
        <w:t xml:space="preserve"> constructs</w:t>
      </w:r>
      <w:r w:rsidR="005A682E">
        <w:t xml:space="preserve"> after TBI</w:t>
      </w:r>
      <w:r w:rsidR="00586C2C" w:rsidRPr="00B424A1">
        <w:t>.</w:t>
      </w:r>
      <w:r w:rsidR="006A2049" w:rsidRPr="00B424A1">
        <w:t xml:space="preserve"> </w:t>
      </w:r>
      <w:r w:rsidR="009B2BD0" w:rsidRPr="00B424A1">
        <w:t xml:space="preserve">Instead, the </w:t>
      </w:r>
      <w:r w:rsidR="006B18A0" w:rsidRPr="00B424A1">
        <w:t xml:space="preserve">authors speculated whether the </w:t>
      </w:r>
      <w:r w:rsidR="009B2BD0" w:rsidRPr="00B424A1">
        <w:t xml:space="preserve">DASS </w:t>
      </w:r>
      <w:r>
        <w:t>might measure</w:t>
      </w:r>
      <w:r w:rsidR="006D7BC2" w:rsidRPr="00B424A1">
        <w:t xml:space="preserve"> a single</w:t>
      </w:r>
      <w:r w:rsidR="00456E0F" w:rsidRPr="00B424A1">
        <w:t xml:space="preserve">, higher-order </w:t>
      </w:r>
      <w:r w:rsidR="006D7BC2" w:rsidRPr="00B424A1">
        <w:t>factor of general distress</w:t>
      </w:r>
      <w:r w:rsidR="001D77D1">
        <w:t xml:space="preserve"> in TBI</w:t>
      </w:r>
      <w:r w:rsidR="006B18A0" w:rsidRPr="00B424A1">
        <w:t xml:space="preserve">, </w:t>
      </w:r>
      <w:r w:rsidR="00E12431" w:rsidRPr="00B424A1">
        <w:t xml:space="preserve">possibly </w:t>
      </w:r>
      <w:r w:rsidR="00DA1D9F" w:rsidRPr="00B424A1">
        <w:t xml:space="preserve">related to the </w:t>
      </w:r>
      <w:r w:rsidR="001D77D1">
        <w:t xml:space="preserve">stressful, </w:t>
      </w:r>
      <w:r w:rsidR="00DA1D9F" w:rsidRPr="00B424A1">
        <w:t>life-changing nature of the injury</w:t>
      </w:r>
      <w:r w:rsidR="00F70CCE">
        <w:t xml:space="preserve"> (Dahm et al., 2013). </w:t>
      </w:r>
      <w:r>
        <w:t xml:space="preserve">However, a higher-order </w:t>
      </w:r>
      <w:r w:rsidR="00962BC6" w:rsidRPr="00B424A1">
        <w:t>general distress factor</w:t>
      </w:r>
      <w:r>
        <w:t xml:space="preserve"> </w:t>
      </w:r>
      <w:r w:rsidR="00786063" w:rsidRPr="00B424A1">
        <w:t xml:space="preserve">was not </w:t>
      </w:r>
      <w:r w:rsidR="006D7BC2" w:rsidRPr="00B424A1">
        <w:t>model</w:t>
      </w:r>
      <w:r w:rsidR="00456E0F" w:rsidRPr="00B424A1">
        <w:t>e</w:t>
      </w:r>
      <w:r w:rsidR="006D7BC2" w:rsidRPr="00B424A1">
        <w:t xml:space="preserve">d in </w:t>
      </w:r>
      <w:r w:rsidR="00996F86">
        <w:t xml:space="preserve">these </w:t>
      </w:r>
      <w:r w:rsidR="00456E0F" w:rsidRPr="00B424A1">
        <w:t>previous investigation</w:t>
      </w:r>
      <w:r w:rsidR="004E056B" w:rsidRPr="00B424A1">
        <w:t>s</w:t>
      </w:r>
      <w:r w:rsidR="003C499F" w:rsidRPr="00B424A1">
        <w:t>.</w:t>
      </w:r>
    </w:p>
    <w:p w14:paraId="12BE0C9C" w14:textId="6204D423" w:rsidR="00F62C72" w:rsidRDefault="008A31CE" w:rsidP="00F62C72">
      <w:pPr>
        <w:widowControl w:val="0"/>
        <w:autoSpaceDE w:val="0"/>
        <w:autoSpaceDN w:val="0"/>
        <w:adjustRightInd w:val="0"/>
      </w:pPr>
      <w:r w:rsidRPr="00B424A1">
        <w:t>T</w:t>
      </w:r>
      <w:r w:rsidR="00D40C3F" w:rsidRPr="00B424A1">
        <w:t>h</w:t>
      </w:r>
      <w:r w:rsidR="009071E7" w:rsidRPr="00B424A1">
        <w:t xml:space="preserve">e </w:t>
      </w:r>
      <w:r w:rsidR="00456E0F" w:rsidRPr="00B424A1">
        <w:t xml:space="preserve">hierarchical </w:t>
      </w:r>
      <w:r w:rsidR="006D7BC2" w:rsidRPr="00B424A1">
        <w:t>structure of the</w:t>
      </w:r>
      <w:r w:rsidR="00000451" w:rsidRPr="00B424A1">
        <w:t xml:space="preserve"> DASS</w:t>
      </w:r>
      <w:r w:rsidRPr="00B424A1">
        <w:t xml:space="preserve"> </w:t>
      </w:r>
      <w:r w:rsidR="00A3641C" w:rsidRPr="00B424A1">
        <w:t xml:space="preserve">can </w:t>
      </w:r>
      <w:r w:rsidR="00C91141" w:rsidRPr="00B424A1">
        <w:t>be</w:t>
      </w:r>
      <w:r w:rsidR="009913BB">
        <w:t xml:space="preserve"> assessed</w:t>
      </w:r>
      <w:r w:rsidRPr="00B424A1">
        <w:t xml:space="preserve"> </w:t>
      </w:r>
      <w:r w:rsidR="00B71F07" w:rsidRPr="00B424A1">
        <w:t xml:space="preserve">using </w:t>
      </w:r>
      <w:r w:rsidR="009913BB">
        <w:t>a bifactor model</w:t>
      </w:r>
      <w:r w:rsidR="00F62C72">
        <w:t>ing</w:t>
      </w:r>
      <w:r w:rsidR="0050042C" w:rsidRPr="00B424A1">
        <w:t xml:space="preserve"> (Chen et al., 2006)</w:t>
      </w:r>
      <w:r w:rsidR="004E4C41" w:rsidRPr="00B424A1">
        <w:t xml:space="preserve">. </w:t>
      </w:r>
      <w:bookmarkStart w:id="0" w:name="_Toc85399166"/>
      <w:bookmarkStart w:id="1" w:name="_Toc79429083"/>
      <w:bookmarkStart w:id="2" w:name="_Toc85182123"/>
      <w:bookmarkStart w:id="3" w:name="_Toc85455446"/>
      <w:bookmarkStart w:id="4" w:name="_Toc85455649"/>
      <w:bookmarkStart w:id="5" w:name="_Toc85456033"/>
      <w:bookmarkStart w:id="6" w:name="_Toc85456322"/>
      <w:bookmarkStart w:id="7" w:name="_Toc85456458"/>
      <w:r w:rsidR="009913BB">
        <w:t xml:space="preserve">This </w:t>
      </w:r>
      <w:r w:rsidR="00F62C72">
        <w:t>approach, a type of factor analysis,</w:t>
      </w:r>
      <w:r w:rsidR="002811CA" w:rsidRPr="00B424A1">
        <w:t xml:space="preserve"> </w:t>
      </w:r>
      <w:r w:rsidR="009913BB">
        <w:t>represents the latent variable structure of a psychometric instrument simultaneously at</w:t>
      </w:r>
      <w:r w:rsidR="00255C22">
        <w:t xml:space="preserve"> two levels</w:t>
      </w:r>
      <w:r w:rsidR="009913BB">
        <w:t xml:space="preserve"> of resolution: a general factor, onto which all items load</w:t>
      </w:r>
      <w:r w:rsidR="00F62C72">
        <w:t xml:space="preserve"> (indexed by the total score)</w:t>
      </w:r>
      <w:r w:rsidR="009913BB">
        <w:t xml:space="preserve">, and </w:t>
      </w:r>
      <w:r w:rsidR="00F62C72">
        <w:t>numerous</w:t>
      </w:r>
      <w:r w:rsidR="009913BB">
        <w:t xml:space="preserve"> specific factors, </w:t>
      </w:r>
      <w:r w:rsidR="00F62C72">
        <w:t>onto each of which a subset of items loads (indexed by individual scale/subscale scores). Unlike a higher- or second-order factor model, the general factor in a bifactor model directly influences all items (rather than being mediated by first-order factors)</w:t>
      </w:r>
      <w:r w:rsidR="001802A8">
        <w:t xml:space="preserve">; thus, </w:t>
      </w:r>
      <w:r w:rsidR="00F62C72">
        <w:t>the unique contributions of the</w:t>
      </w:r>
      <w:r w:rsidR="00D40C3F" w:rsidRPr="00B424A1">
        <w:t xml:space="preserve"> general </w:t>
      </w:r>
      <w:r w:rsidR="00F62C72">
        <w:t>and specific</w:t>
      </w:r>
      <w:r w:rsidR="00D40C3F" w:rsidRPr="00B424A1">
        <w:t xml:space="preserve"> factors</w:t>
      </w:r>
      <w:r w:rsidR="001802A8">
        <w:t xml:space="preserve"> are teased apart completely</w:t>
      </w:r>
      <w:r w:rsidR="005A682E">
        <w:t xml:space="preserve"> (Bornovalova et al., 2020)</w:t>
      </w:r>
      <w:r w:rsidR="00F62C72">
        <w:t xml:space="preserve">. </w:t>
      </w:r>
      <w:r w:rsidR="009913BB">
        <w:t>B</w:t>
      </w:r>
      <w:r w:rsidR="00255C22">
        <w:t xml:space="preserve">ifactor </w:t>
      </w:r>
      <w:r w:rsidR="009913BB">
        <w:t>modeling is</w:t>
      </w:r>
      <w:r w:rsidR="00255C22">
        <w:t xml:space="preserve"> </w:t>
      </w:r>
      <w:r w:rsidR="009913BB">
        <w:t xml:space="preserve">therefore </w:t>
      </w:r>
      <w:r w:rsidR="00255C22">
        <w:t>well-suited to</w:t>
      </w:r>
      <w:r w:rsidR="007F523C" w:rsidRPr="00B424A1">
        <w:t xml:space="preserve"> assess</w:t>
      </w:r>
      <w:r w:rsidR="00D40C3F" w:rsidRPr="00B424A1">
        <w:t>ing</w:t>
      </w:r>
      <w:r w:rsidR="007F523C" w:rsidRPr="00B424A1">
        <w:t xml:space="preserve"> the </w:t>
      </w:r>
      <w:r w:rsidR="00295486" w:rsidRPr="00B424A1">
        <w:t>viability</w:t>
      </w:r>
      <w:r w:rsidR="007F523C" w:rsidRPr="00B424A1">
        <w:t xml:space="preserve"> </w:t>
      </w:r>
      <w:r w:rsidR="00272977" w:rsidRPr="00B424A1">
        <w:t xml:space="preserve">of </w:t>
      </w:r>
      <w:r w:rsidR="00255C22">
        <w:t xml:space="preserve">the </w:t>
      </w:r>
      <w:r w:rsidR="00295486" w:rsidRPr="00B424A1">
        <w:t>total</w:t>
      </w:r>
      <w:r w:rsidR="00272977" w:rsidRPr="00B424A1">
        <w:t xml:space="preserve"> </w:t>
      </w:r>
      <w:r w:rsidR="009913BB">
        <w:t>and</w:t>
      </w:r>
      <w:r w:rsidR="00295486" w:rsidRPr="00B424A1">
        <w:t xml:space="preserve"> subscale scores</w:t>
      </w:r>
      <w:r w:rsidR="009913BB">
        <w:t xml:space="preserve"> of psychometric </w:t>
      </w:r>
      <w:r w:rsidR="009913BB" w:rsidRPr="00A100E9">
        <w:t>instruments (Bonifay et al., 2017)</w:t>
      </w:r>
      <w:r w:rsidR="00BC3508" w:rsidRPr="00A100E9">
        <w:t>.</w:t>
      </w:r>
      <w:r w:rsidR="00BC3508" w:rsidRPr="00B424A1">
        <w:t xml:space="preserve"> </w:t>
      </w:r>
    </w:p>
    <w:p w14:paraId="4B2D17AB" w14:textId="4D41EE3B" w:rsidR="00C36191" w:rsidRDefault="00F62C72" w:rsidP="00F62C72">
      <w:pPr>
        <w:widowControl w:val="0"/>
        <w:autoSpaceDE w:val="0"/>
        <w:autoSpaceDN w:val="0"/>
        <w:adjustRightInd w:val="0"/>
        <w:rPr>
          <w:rFonts w:ascii="Times New Roman" w:hAnsi="Times New Roman" w:cs="Times New Roman"/>
        </w:rPr>
      </w:pPr>
      <w:r>
        <w:t>To our knowledge, on</w:t>
      </w:r>
      <w:r w:rsidR="00C36191">
        <w:t>e</w:t>
      </w:r>
      <w:r>
        <w:t xml:space="preserve"> previous study estimated a bifactor model of the DASS in a TBI sample. </w:t>
      </w:r>
      <w:bookmarkEnd w:id="0"/>
      <w:bookmarkEnd w:id="1"/>
      <w:bookmarkEnd w:id="2"/>
      <w:bookmarkEnd w:id="3"/>
      <w:bookmarkEnd w:id="4"/>
      <w:bookmarkEnd w:id="5"/>
      <w:bookmarkEnd w:id="6"/>
      <w:bookmarkEnd w:id="7"/>
      <w:r w:rsidR="005A682E">
        <w:t xml:space="preserve">Focusing on </w:t>
      </w:r>
      <w:r w:rsidR="00C36191">
        <w:t>model fit indices (e.g., the Comparative Fit Index), R</w:t>
      </w:r>
      <w:r w:rsidR="00C72F58" w:rsidRPr="00B424A1">
        <w:t xml:space="preserve">andall </w:t>
      </w:r>
      <w:r w:rsidR="00255C22">
        <w:t xml:space="preserve">and colleagues </w:t>
      </w:r>
      <w:r w:rsidR="00C72F58" w:rsidRPr="00B424A1">
        <w:t xml:space="preserve">(2017) </w:t>
      </w:r>
      <w:r w:rsidR="003D5169" w:rsidRPr="00B424A1">
        <w:t xml:space="preserve">found </w:t>
      </w:r>
      <w:r w:rsidR="00255C22">
        <w:t xml:space="preserve">that </w:t>
      </w:r>
      <w:r w:rsidR="003D5169" w:rsidRPr="00B424A1">
        <w:t>the</w:t>
      </w:r>
      <w:r w:rsidR="00C72F58" w:rsidRPr="00B424A1">
        <w:t xml:space="preserve"> bifactor model of the </w:t>
      </w:r>
      <w:r w:rsidR="00080556" w:rsidRPr="00B424A1">
        <w:t>DASS21</w:t>
      </w:r>
      <w:r w:rsidR="00C72F58" w:rsidRPr="00B424A1">
        <w:t xml:space="preserve"> </w:t>
      </w:r>
      <w:r w:rsidR="00784FEF" w:rsidRPr="00B424A1">
        <w:t>fit the data better</w:t>
      </w:r>
      <w:r w:rsidR="003D5169" w:rsidRPr="00B424A1">
        <w:t xml:space="preserve"> than unidimensional, two-factor, and </w:t>
      </w:r>
      <w:r w:rsidR="00D42CCA" w:rsidRPr="00B424A1">
        <w:t xml:space="preserve">first-order </w:t>
      </w:r>
      <w:r w:rsidR="00112FE7" w:rsidRPr="00B424A1">
        <w:t>three-factor</w:t>
      </w:r>
      <w:r w:rsidR="003D5169" w:rsidRPr="00B424A1">
        <w:t xml:space="preserve"> model</w:t>
      </w:r>
      <w:r w:rsidR="006A2049" w:rsidRPr="00B424A1">
        <w:t>s</w:t>
      </w:r>
      <w:r w:rsidR="00866BC8" w:rsidRPr="00B424A1">
        <w:t xml:space="preserve">, </w:t>
      </w:r>
      <w:r w:rsidR="00C60358" w:rsidRPr="00B424A1">
        <w:t>conclud</w:t>
      </w:r>
      <w:r w:rsidR="00866BC8" w:rsidRPr="00B424A1">
        <w:t>ing</w:t>
      </w:r>
      <w:r w:rsidR="00C60358" w:rsidRPr="00B424A1">
        <w:t xml:space="preserve"> </w:t>
      </w:r>
      <w:r w:rsidR="00784FEF" w:rsidRPr="00B424A1">
        <w:t>the DASS</w:t>
      </w:r>
      <w:r w:rsidR="00C36191">
        <w:t>21</w:t>
      </w:r>
      <w:r w:rsidR="00784FEF" w:rsidRPr="00B424A1">
        <w:t xml:space="preserve"> is a </w:t>
      </w:r>
      <w:r w:rsidR="00B00AEE" w:rsidRPr="00B424A1">
        <w:t>sound</w:t>
      </w:r>
      <w:r w:rsidR="00784FEF" w:rsidRPr="00B424A1">
        <w:t xml:space="preserve"> measure of </w:t>
      </w:r>
      <w:r w:rsidR="006A2049">
        <w:t xml:space="preserve">specific </w:t>
      </w:r>
      <w:r w:rsidR="00784FEF" w:rsidRPr="00B424A1">
        <w:t>depression, anxiety, and stress</w:t>
      </w:r>
      <w:r w:rsidR="00AD724A" w:rsidRPr="00B424A1">
        <w:t xml:space="preserve"> symptoms</w:t>
      </w:r>
      <w:r w:rsidR="00784FEF" w:rsidRPr="00B424A1">
        <w:t xml:space="preserve">, </w:t>
      </w:r>
      <w:r w:rsidR="009913BB">
        <w:t>as well as</w:t>
      </w:r>
      <w:r w:rsidR="00784FEF" w:rsidRPr="00B424A1">
        <w:t xml:space="preserve"> general distress</w:t>
      </w:r>
      <w:r w:rsidR="00255C22">
        <w:t xml:space="preserve"> in TBI</w:t>
      </w:r>
      <w:r w:rsidR="00784FEF" w:rsidRPr="00B424A1">
        <w:t>.</w:t>
      </w:r>
      <w:r w:rsidR="00D30346" w:rsidRPr="00B424A1">
        <w:t xml:space="preserve"> </w:t>
      </w:r>
      <w:r w:rsidR="00255C22">
        <w:rPr>
          <w:rFonts w:ascii="Times New Roman" w:hAnsi="Times New Roman" w:cs="Times New Roman"/>
        </w:rPr>
        <w:t xml:space="preserve">However, various </w:t>
      </w:r>
      <w:r w:rsidR="00F7298A">
        <w:rPr>
          <w:rFonts w:ascii="Times New Roman" w:hAnsi="Times New Roman" w:cs="Times New Roman"/>
        </w:rPr>
        <w:t>researchers</w:t>
      </w:r>
      <w:r w:rsidR="00255C22">
        <w:rPr>
          <w:rFonts w:ascii="Times New Roman" w:hAnsi="Times New Roman" w:cs="Times New Roman"/>
        </w:rPr>
        <w:t xml:space="preserve"> have raised c</w:t>
      </w:r>
      <w:r w:rsidR="00777230" w:rsidRPr="00B424A1">
        <w:t xml:space="preserve">oncerns about interpreting bifactor </w:t>
      </w:r>
      <w:r w:rsidR="00D30346">
        <w:lastRenderedPageBreak/>
        <w:t xml:space="preserve">models </w:t>
      </w:r>
      <w:r w:rsidR="00CF6BEC">
        <w:t>based solely</w:t>
      </w:r>
      <w:r w:rsidR="00D30346">
        <w:t xml:space="preserve"> on </w:t>
      </w:r>
      <w:r w:rsidR="00C36191">
        <w:t>the</w:t>
      </w:r>
      <w:r w:rsidR="00CF6BEC">
        <w:t>se</w:t>
      </w:r>
      <w:r w:rsidR="00D30346">
        <w:t xml:space="preserve"> </w:t>
      </w:r>
      <w:r w:rsidR="00777230" w:rsidRPr="00B424A1">
        <w:t xml:space="preserve">fit </w:t>
      </w:r>
      <w:r w:rsidR="00255C22">
        <w:t>indices</w:t>
      </w:r>
      <w:r w:rsidR="0041705C">
        <w:t>, which may lead to erroneous conclusions</w:t>
      </w:r>
      <w:r w:rsidR="00777230" w:rsidRPr="00B424A1">
        <w:t xml:space="preserve"> (</w:t>
      </w:r>
      <w:r w:rsidR="00F7298A">
        <w:t xml:space="preserve">e.g., </w:t>
      </w:r>
      <w:r w:rsidR="00777230" w:rsidRPr="00B424A1">
        <w:rPr>
          <w:rFonts w:ascii="Times New Roman" w:hAnsi="Times New Roman" w:cs="Times New Roman"/>
          <w:noProof/>
        </w:rPr>
        <w:t xml:space="preserve">Bonifay et al., 2017; </w:t>
      </w:r>
      <w:r w:rsidR="00777230" w:rsidRPr="00B424A1">
        <w:t>Bornovalova et al., 2020; Greene et al., 202</w:t>
      </w:r>
      <w:r w:rsidR="00294565">
        <w:t>2</w:t>
      </w:r>
      <w:r w:rsidR="00527187">
        <w:t>; Stanton et al., 202</w:t>
      </w:r>
      <w:r w:rsidR="0045379A">
        <w:t>3</w:t>
      </w:r>
      <w:r w:rsidR="00777230" w:rsidRPr="00B424A1">
        <w:rPr>
          <w:rFonts w:ascii="Times New Roman" w:hAnsi="Times New Roman" w:cs="Times New Roman"/>
          <w:noProof/>
        </w:rPr>
        <w:t>)</w:t>
      </w:r>
      <w:r w:rsidR="00777230" w:rsidRPr="00B424A1">
        <w:t>. D</w:t>
      </w:r>
      <w:r w:rsidR="00777230" w:rsidRPr="00B424A1">
        <w:rPr>
          <w:rFonts w:ascii="Times New Roman" w:hAnsi="Times New Roman" w:cs="Times New Roman"/>
        </w:rPr>
        <w:t>ue to their relatively large number of parameters and increased flexibility</w:t>
      </w:r>
      <w:r w:rsidR="00016540">
        <w:rPr>
          <w:rFonts w:ascii="Times New Roman" w:hAnsi="Times New Roman" w:cs="Times New Roman"/>
        </w:rPr>
        <w:t xml:space="preserve"> to accommodate noise or error</w:t>
      </w:r>
      <w:r w:rsidR="00777230" w:rsidRPr="00B424A1">
        <w:rPr>
          <w:rFonts w:ascii="Times New Roman" w:hAnsi="Times New Roman" w:cs="Times New Roman"/>
        </w:rPr>
        <w:t xml:space="preserve">, bifactor models nearly always </w:t>
      </w:r>
      <w:r w:rsidR="00CF6BEC">
        <w:rPr>
          <w:rFonts w:ascii="Times New Roman" w:hAnsi="Times New Roman" w:cs="Times New Roman"/>
        </w:rPr>
        <w:t>perform well according to fit indices,</w:t>
      </w:r>
      <w:r w:rsidR="00777230" w:rsidRPr="00B424A1">
        <w:rPr>
          <w:rFonts w:ascii="Times New Roman" w:hAnsi="Times New Roman" w:cs="Times New Roman"/>
        </w:rPr>
        <w:t xml:space="preserve"> even when they have been explicitly misspecified in simulation studies </w:t>
      </w:r>
      <w:r w:rsidR="00777230" w:rsidRPr="00B424A1">
        <w:rPr>
          <w:rFonts w:ascii="Times New Roman" w:hAnsi="Times New Roman" w:cs="Times New Roman"/>
          <w:noProof/>
        </w:rPr>
        <w:t>(</w:t>
      </w:r>
      <w:r w:rsidR="00527187">
        <w:rPr>
          <w:rFonts w:ascii="Times New Roman" w:hAnsi="Times New Roman" w:cs="Times New Roman"/>
          <w:noProof/>
        </w:rPr>
        <w:t xml:space="preserve">Eid et al., 2017; </w:t>
      </w:r>
      <w:r w:rsidR="00294565">
        <w:rPr>
          <w:rFonts w:ascii="Times New Roman" w:hAnsi="Times New Roman" w:cs="Times New Roman"/>
          <w:noProof/>
        </w:rPr>
        <w:t>Greene et al., 2019; Reise et al., 2016</w:t>
      </w:r>
      <w:r w:rsidR="00777230" w:rsidRPr="00B424A1">
        <w:rPr>
          <w:rFonts w:ascii="Times New Roman" w:hAnsi="Times New Roman" w:cs="Times New Roman"/>
          <w:noProof/>
        </w:rPr>
        <w:t>).</w:t>
      </w:r>
      <w:r w:rsidR="00D30346" w:rsidRPr="00434BF8">
        <w:rPr>
          <w:rFonts w:ascii="Times New Roman" w:hAnsi="Times New Roman" w:cs="Times New Roman"/>
        </w:rPr>
        <w:t xml:space="preserve"> </w:t>
      </w:r>
      <w:r w:rsidR="00C36191">
        <w:rPr>
          <w:rFonts w:ascii="Times New Roman" w:hAnsi="Times New Roman" w:cs="Times New Roman"/>
        </w:rPr>
        <w:t xml:space="preserve">In particular, bifactor models tend to </w:t>
      </w:r>
      <w:r w:rsidR="00CF6BEC">
        <w:rPr>
          <w:rFonts w:ascii="Times New Roman" w:hAnsi="Times New Roman" w:cs="Times New Roman"/>
        </w:rPr>
        <w:t xml:space="preserve">still have good fit in the presence </w:t>
      </w:r>
      <w:r w:rsidR="00C36191">
        <w:rPr>
          <w:rFonts w:ascii="Times New Roman" w:hAnsi="Times New Roman" w:cs="Times New Roman"/>
        </w:rPr>
        <w:t>of very small, non-significant, or even negative specific factor loadings (Eid et al., 2017).</w:t>
      </w:r>
    </w:p>
    <w:p w14:paraId="6AE2D2B2" w14:textId="1B4CC2CA" w:rsidR="00C70458" w:rsidRPr="00F62C72" w:rsidRDefault="00D30346" w:rsidP="00F62C72">
      <w:pPr>
        <w:widowControl w:val="0"/>
        <w:autoSpaceDE w:val="0"/>
        <w:autoSpaceDN w:val="0"/>
        <w:adjustRightInd w:val="0"/>
      </w:pPr>
      <w:r w:rsidRPr="0041705C">
        <w:t xml:space="preserve">To this end, further inspection of the bifactor model in </w:t>
      </w:r>
      <w:r w:rsidR="0041705C" w:rsidRPr="0041705C">
        <w:t xml:space="preserve">the TBI study by </w:t>
      </w:r>
      <w:r w:rsidRPr="0041705C">
        <w:t xml:space="preserve">Randall </w:t>
      </w:r>
      <w:r w:rsidR="00F62C72" w:rsidRPr="0041705C">
        <w:t>and colleagues</w:t>
      </w:r>
      <w:r w:rsidRPr="0041705C">
        <w:t xml:space="preserve"> (2017) shows </w:t>
      </w:r>
      <w:r w:rsidRPr="0041705C">
        <w:rPr>
          <w:rFonts w:ascii="Times New Roman" w:hAnsi="Times New Roman" w:cs="Times New Roman"/>
        </w:rPr>
        <w:t xml:space="preserve">that </w:t>
      </w:r>
      <w:r w:rsidR="00255C22" w:rsidRPr="0041705C">
        <w:rPr>
          <w:rFonts w:ascii="Times New Roman" w:hAnsi="Times New Roman" w:cs="Times New Roman"/>
        </w:rPr>
        <w:t>the DASS21 i</w:t>
      </w:r>
      <w:r w:rsidRPr="0041705C">
        <w:rPr>
          <w:rFonts w:ascii="Times New Roman" w:hAnsi="Times New Roman" w:cs="Times New Roman"/>
        </w:rPr>
        <w:t>tems loaded</w:t>
      </w:r>
      <w:r w:rsidR="00255C22" w:rsidRPr="0041705C">
        <w:rPr>
          <w:rFonts w:ascii="Times New Roman" w:hAnsi="Times New Roman" w:cs="Times New Roman"/>
        </w:rPr>
        <w:t xml:space="preserve"> </w:t>
      </w:r>
      <w:r w:rsidR="0041705C" w:rsidRPr="0041705C">
        <w:rPr>
          <w:rFonts w:ascii="Times New Roman" w:hAnsi="Times New Roman" w:cs="Times New Roman"/>
        </w:rPr>
        <w:t xml:space="preserve">consistently </w:t>
      </w:r>
      <w:r w:rsidR="00255C22" w:rsidRPr="0041705C">
        <w:rPr>
          <w:rFonts w:ascii="Times New Roman" w:hAnsi="Times New Roman" w:cs="Times New Roman"/>
        </w:rPr>
        <w:t>more</w:t>
      </w:r>
      <w:r w:rsidRPr="0041705C">
        <w:rPr>
          <w:rFonts w:ascii="Times New Roman" w:hAnsi="Times New Roman" w:cs="Times New Roman"/>
        </w:rPr>
        <w:t xml:space="preserve"> strongly on the general factor (</w:t>
      </w:r>
      <w:r w:rsidRPr="0041705C">
        <w:rPr>
          <w:rFonts w:ascii="Times New Roman" w:hAnsi="Times New Roman"/>
        </w:rPr>
        <w:t xml:space="preserve">0.35 </w:t>
      </w:r>
      <w:r w:rsidR="00642697" w:rsidRPr="0041705C">
        <w:rPr>
          <w:rFonts w:ascii="Times New Roman" w:hAnsi="Times New Roman"/>
        </w:rPr>
        <w:t xml:space="preserve">˂ </w:t>
      </w:r>
      <w:r w:rsidRPr="0041705C">
        <w:rPr>
          <w:rFonts w:ascii="Times New Roman" w:hAnsi="Times New Roman"/>
          <w:sz w:val="20"/>
        </w:rPr>
        <w:t>λ</w:t>
      </w:r>
      <w:r w:rsidRPr="0041705C">
        <w:rPr>
          <w:rFonts w:ascii="Times New Roman" w:hAnsi="Times New Roman"/>
          <w:i/>
        </w:rPr>
        <w:t xml:space="preserve"> </w:t>
      </w:r>
      <w:r w:rsidRPr="0041705C">
        <w:rPr>
          <w:rFonts w:ascii="Times New Roman" w:hAnsi="Times New Roman"/>
        </w:rPr>
        <w:t>&lt; 0.76</w:t>
      </w:r>
      <w:r w:rsidRPr="0041705C">
        <w:rPr>
          <w:rFonts w:ascii="Times New Roman" w:hAnsi="Times New Roman" w:cs="Times New Roman"/>
        </w:rPr>
        <w:t xml:space="preserve">) </w:t>
      </w:r>
      <w:r w:rsidR="00255C22" w:rsidRPr="0041705C">
        <w:rPr>
          <w:rFonts w:ascii="Times New Roman" w:hAnsi="Times New Roman" w:cs="Times New Roman"/>
        </w:rPr>
        <w:t>than</w:t>
      </w:r>
      <w:r w:rsidRPr="0041705C">
        <w:rPr>
          <w:rFonts w:ascii="Times New Roman" w:hAnsi="Times New Roman" w:cs="Times New Roman"/>
        </w:rPr>
        <w:t xml:space="preserve"> on the specific</w:t>
      </w:r>
      <w:r w:rsidR="00255C22" w:rsidRPr="0041705C">
        <w:rPr>
          <w:rFonts w:ascii="Times New Roman" w:hAnsi="Times New Roman" w:cs="Times New Roman"/>
        </w:rPr>
        <w:t xml:space="preserve"> depression, anxiety, and stress</w:t>
      </w:r>
      <w:r w:rsidRPr="0041705C">
        <w:rPr>
          <w:rFonts w:ascii="Times New Roman" w:hAnsi="Times New Roman" w:cs="Times New Roman"/>
        </w:rPr>
        <w:t xml:space="preserve"> factors </w:t>
      </w:r>
      <w:r w:rsidRPr="0041705C">
        <w:rPr>
          <w:rFonts w:ascii="Times New Roman" w:hAnsi="Times New Roman"/>
        </w:rPr>
        <w:t xml:space="preserve">(0.07 &lt; </w:t>
      </w:r>
      <w:r w:rsidRPr="0041705C">
        <w:rPr>
          <w:rFonts w:ascii="Times New Roman" w:hAnsi="Times New Roman"/>
          <w:sz w:val="20"/>
        </w:rPr>
        <w:t>λ</w:t>
      </w:r>
      <w:r w:rsidRPr="0041705C">
        <w:rPr>
          <w:rFonts w:ascii="Times New Roman" w:hAnsi="Times New Roman"/>
          <w:i/>
        </w:rPr>
        <w:t xml:space="preserve"> </w:t>
      </w:r>
      <w:r w:rsidRPr="0041705C">
        <w:rPr>
          <w:rFonts w:ascii="Times New Roman" w:hAnsi="Times New Roman"/>
        </w:rPr>
        <w:t>&lt; 0.53</w:t>
      </w:r>
      <w:r w:rsidRPr="0041705C">
        <w:rPr>
          <w:rFonts w:ascii="Times New Roman" w:hAnsi="Times New Roman" w:cs="Times New Roman"/>
        </w:rPr>
        <w:t xml:space="preserve">). </w:t>
      </w:r>
      <w:r w:rsidR="00C36191" w:rsidRPr="0041705C">
        <w:rPr>
          <w:rFonts w:ascii="Times New Roman" w:hAnsi="Times New Roman" w:cs="Times New Roman"/>
        </w:rPr>
        <w:t>This may indicate a</w:t>
      </w:r>
      <w:r w:rsidRPr="0041705C">
        <w:rPr>
          <w:rFonts w:ascii="Times New Roman" w:hAnsi="Times New Roman" w:cs="Times New Roman"/>
        </w:rPr>
        <w:t xml:space="preserve"> substantial influence of the general factor o</w:t>
      </w:r>
      <w:r w:rsidR="00F62C72" w:rsidRPr="0041705C">
        <w:rPr>
          <w:rFonts w:ascii="Times New Roman" w:hAnsi="Times New Roman" w:cs="Times New Roman"/>
        </w:rPr>
        <w:t xml:space="preserve">n the DASS data structure </w:t>
      </w:r>
      <w:r w:rsidR="00A3641C" w:rsidRPr="0041705C">
        <w:rPr>
          <w:rFonts w:ascii="Times New Roman" w:hAnsi="Times New Roman" w:cs="Times New Roman"/>
        </w:rPr>
        <w:t xml:space="preserve">after </w:t>
      </w:r>
      <w:r w:rsidRPr="0041705C">
        <w:rPr>
          <w:rFonts w:ascii="Times New Roman" w:hAnsi="Times New Roman" w:cs="Times New Roman"/>
        </w:rPr>
        <w:t>TBI, cautioning against interpretation of the</w:t>
      </w:r>
      <w:r w:rsidR="00255C22" w:rsidRPr="0041705C">
        <w:rPr>
          <w:rFonts w:ascii="Times New Roman" w:hAnsi="Times New Roman" w:cs="Times New Roman"/>
        </w:rPr>
        <w:t xml:space="preserve"> individual</w:t>
      </w:r>
      <w:r w:rsidR="006A2049" w:rsidRPr="0041705C">
        <w:rPr>
          <w:rFonts w:ascii="Times New Roman" w:hAnsi="Times New Roman" w:cs="Times New Roman"/>
        </w:rPr>
        <w:t xml:space="preserve"> </w:t>
      </w:r>
      <w:r w:rsidRPr="0041705C">
        <w:rPr>
          <w:rFonts w:ascii="Times New Roman" w:hAnsi="Times New Roman" w:cs="Times New Roman"/>
        </w:rPr>
        <w:t>scale scores</w:t>
      </w:r>
      <w:r w:rsidR="00F62C72" w:rsidRPr="0041705C">
        <w:rPr>
          <w:rFonts w:ascii="Times New Roman" w:hAnsi="Times New Roman" w:cs="Times New Roman"/>
        </w:rPr>
        <w:t xml:space="preserve"> in this population</w:t>
      </w:r>
      <w:r w:rsidRPr="0041705C">
        <w:rPr>
          <w:rFonts w:ascii="Times New Roman" w:hAnsi="Times New Roman" w:cs="Times New Roman"/>
        </w:rPr>
        <w:t xml:space="preserve"> (Reise et al., 2007).</w:t>
      </w:r>
      <w:r w:rsidR="00255C22" w:rsidRPr="0041705C">
        <w:rPr>
          <w:rFonts w:ascii="Times New Roman" w:hAnsi="Times New Roman" w:cs="Times New Roman"/>
        </w:rPr>
        <w:t xml:space="preserve"> </w:t>
      </w:r>
      <w:r w:rsidR="004D7D5D" w:rsidRPr="0041705C">
        <w:rPr>
          <w:rFonts w:ascii="Times New Roman" w:hAnsi="Times New Roman" w:cs="Times New Roman"/>
        </w:rPr>
        <w:t xml:space="preserve">Despite a well-fitting bifactor model, </w:t>
      </w:r>
      <w:r w:rsidR="00F62C72" w:rsidRPr="0041705C">
        <w:rPr>
          <w:rFonts w:ascii="Times New Roman" w:hAnsi="Times New Roman" w:cs="Times New Roman"/>
        </w:rPr>
        <w:t>however, the</w:t>
      </w:r>
      <w:r w:rsidR="00777230" w:rsidRPr="0041705C">
        <w:rPr>
          <w:rFonts w:ascii="Times New Roman" w:hAnsi="Times New Roman" w:cs="Times New Roman"/>
        </w:rPr>
        <w:t xml:space="preserve"> authors did not </w:t>
      </w:r>
      <w:r w:rsidR="005A682E">
        <w:rPr>
          <w:rFonts w:ascii="Times New Roman" w:hAnsi="Times New Roman" w:cs="Times New Roman"/>
        </w:rPr>
        <w:t>scrutinize</w:t>
      </w:r>
      <w:r w:rsidR="00777230" w:rsidRPr="0041705C">
        <w:rPr>
          <w:rFonts w:ascii="Times New Roman" w:hAnsi="Times New Roman" w:cs="Times New Roman"/>
        </w:rPr>
        <w:t xml:space="preserve"> </w:t>
      </w:r>
      <w:r w:rsidR="00255C22" w:rsidRPr="0041705C">
        <w:rPr>
          <w:rFonts w:ascii="Times New Roman" w:hAnsi="Times New Roman" w:cs="Times New Roman"/>
        </w:rPr>
        <w:t>the pattern of factor loadings</w:t>
      </w:r>
      <w:r w:rsidR="00F62C72" w:rsidRPr="0041705C">
        <w:rPr>
          <w:rFonts w:ascii="Times New Roman" w:hAnsi="Times New Roman" w:cs="Times New Roman"/>
        </w:rPr>
        <w:t xml:space="preserve">, </w:t>
      </w:r>
      <w:r w:rsidR="005A682E">
        <w:rPr>
          <w:rFonts w:ascii="Times New Roman" w:hAnsi="Times New Roman" w:cs="Times New Roman"/>
        </w:rPr>
        <w:t xml:space="preserve">a pattern which </w:t>
      </w:r>
      <w:r w:rsidR="00255C22" w:rsidRPr="0041705C">
        <w:rPr>
          <w:rFonts w:ascii="Times New Roman" w:hAnsi="Times New Roman" w:cs="Times New Roman"/>
        </w:rPr>
        <w:t>raise</w:t>
      </w:r>
      <w:r w:rsidR="00F62C72" w:rsidRPr="0041705C">
        <w:rPr>
          <w:rFonts w:ascii="Times New Roman" w:hAnsi="Times New Roman" w:cs="Times New Roman"/>
        </w:rPr>
        <w:t>s</w:t>
      </w:r>
      <w:r w:rsidR="00255C22" w:rsidRPr="0041705C">
        <w:rPr>
          <w:rFonts w:ascii="Times New Roman" w:hAnsi="Times New Roman" w:cs="Times New Roman"/>
        </w:rPr>
        <w:t xml:space="preserve"> concerns about the </w:t>
      </w:r>
      <w:r w:rsidR="00C36191" w:rsidRPr="0041705C">
        <w:rPr>
          <w:rFonts w:ascii="Times New Roman" w:hAnsi="Times New Roman" w:cs="Times New Roman"/>
        </w:rPr>
        <w:t>reliability of the specific factors in the presence of the general factor.</w:t>
      </w:r>
    </w:p>
    <w:p w14:paraId="7350B313" w14:textId="2FCE8D8E" w:rsidR="00462690" w:rsidRDefault="007D5D43" w:rsidP="00462690">
      <w:pPr>
        <w:widowControl w:val="0"/>
        <w:autoSpaceDE w:val="0"/>
        <w:autoSpaceDN w:val="0"/>
        <w:adjustRightInd w:val="0"/>
        <w:rPr>
          <w:rFonts w:ascii="Times New Roman" w:hAnsi="Times New Roman" w:cs="Times New Roman"/>
          <w:lang w:eastAsia="en-GB"/>
        </w:rPr>
      </w:pPr>
      <w:r w:rsidRPr="00996F86">
        <w:t xml:space="preserve">To avoid </w:t>
      </w:r>
      <w:r w:rsidR="000D6307">
        <w:t xml:space="preserve">this potential </w:t>
      </w:r>
      <w:r w:rsidR="00462690">
        <w:t>misinterpretation of</w:t>
      </w:r>
      <w:r w:rsidRPr="00996F86">
        <w:t xml:space="preserve"> bifactor models, researchers </w:t>
      </w:r>
      <w:r w:rsidR="00F7298A">
        <w:t xml:space="preserve">are </w:t>
      </w:r>
      <w:r w:rsidR="00F7298A">
        <w:rPr>
          <w:rFonts w:cstheme="minorHAnsi"/>
        </w:rPr>
        <w:t>proposing the</w:t>
      </w:r>
      <w:r w:rsidRPr="00996F86">
        <w:t xml:space="preserve"> use of </w:t>
      </w:r>
      <w:r w:rsidRPr="005E5C76">
        <w:rPr>
          <w:i/>
          <w:iCs/>
        </w:rPr>
        <w:t>bifactor statistical indices</w:t>
      </w:r>
      <w:r w:rsidRPr="00996F86">
        <w:t xml:space="preserve"> to </w:t>
      </w:r>
      <w:r w:rsidR="005A682E">
        <w:t xml:space="preserve">interrogate </w:t>
      </w:r>
      <w:r w:rsidRPr="00996F86">
        <w:t>the</w:t>
      </w:r>
      <w:r w:rsidR="0041705C">
        <w:rPr>
          <w:rFonts w:cstheme="minorHAnsi"/>
          <w:lang w:eastAsia="en-GB"/>
        </w:rPr>
        <w:t>se models more closely</w:t>
      </w:r>
      <w:r w:rsidRPr="00B424A1">
        <w:rPr>
          <w:rFonts w:cstheme="minorHAnsi"/>
          <w:lang w:eastAsia="en-GB"/>
        </w:rPr>
        <w:t xml:space="preserve">. </w:t>
      </w:r>
      <w:r w:rsidR="00F7298A">
        <w:rPr>
          <w:rFonts w:cstheme="minorHAnsi"/>
          <w:lang w:eastAsia="en-GB"/>
        </w:rPr>
        <w:t xml:space="preserve">These indices, derived </w:t>
      </w:r>
      <w:r w:rsidR="00462690">
        <w:rPr>
          <w:rFonts w:cstheme="minorHAnsi"/>
          <w:lang w:eastAsia="en-GB"/>
        </w:rPr>
        <w:t>from the</w:t>
      </w:r>
      <w:r w:rsidR="00C64A48">
        <w:rPr>
          <w:rFonts w:cstheme="minorHAnsi"/>
          <w:lang w:eastAsia="en-GB"/>
        </w:rPr>
        <w:t xml:space="preserve"> pattern of factor loadings, </w:t>
      </w:r>
      <w:r w:rsidR="00F7298A">
        <w:rPr>
          <w:rFonts w:cstheme="minorHAnsi"/>
          <w:lang w:eastAsia="en-GB"/>
        </w:rPr>
        <w:t>formally quantify the</w:t>
      </w:r>
      <w:r w:rsidR="00CF6BEC">
        <w:rPr>
          <w:rFonts w:cstheme="minorHAnsi"/>
          <w:lang w:eastAsia="en-GB"/>
        </w:rPr>
        <w:t xml:space="preserve"> relative reliability of the general and specific factors</w:t>
      </w:r>
      <w:r w:rsidR="00F7298A">
        <w:rPr>
          <w:rFonts w:cstheme="minorHAnsi"/>
          <w:lang w:eastAsia="en-GB"/>
        </w:rPr>
        <w:t xml:space="preserve"> </w:t>
      </w:r>
      <w:r w:rsidR="005E5C76">
        <w:rPr>
          <w:rFonts w:cstheme="minorHAnsi"/>
          <w:lang w:eastAsia="en-GB"/>
        </w:rPr>
        <w:t xml:space="preserve">in the bifactor model </w:t>
      </w:r>
      <w:r w:rsidR="00CF6BEC">
        <w:rPr>
          <w:rFonts w:cstheme="minorHAnsi"/>
          <w:lang w:eastAsia="en-GB"/>
        </w:rPr>
        <w:t xml:space="preserve">through the </w:t>
      </w:r>
      <w:r w:rsidR="00CF6BEC" w:rsidRPr="00462690">
        <w:rPr>
          <w:rFonts w:cstheme="minorHAnsi"/>
          <w:i/>
          <w:iCs/>
          <w:lang w:eastAsia="en-GB"/>
        </w:rPr>
        <w:t>omega hierarchical coefficient</w:t>
      </w:r>
      <w:r w:rsidR="00F7298A">
        <w:rPr>
          <w:rFonts w:cstheme="minorHAnsi"/>
          <w:lang w:eastAsia="en-GB"/>
        </w:rPr>
        <w:t xml:space="preserve"> (</w:t>
      </w:r>
      <w:r w:rsidR="00F7298A" w:rsidRPr="00B424A1">
        <w:rPr>
          <w:rFonts w:ascii="Times New Roman" w:eastAsia="MS Gothic" w:hAnsi="Times New Roman" w:cs="Times New Roman"/>
          <w:lang w:eastAsia="en-GB"/>
        </w:rPr>
        <w:t>ω</w:t>
      </w:r>
      <w:r w:rsidR="00F7298A" w:rsidRPr="00B424A1">
        <w:rPr>
          <w:rFonts w:ascii="Times New Roman" w:hAnsi="Times New Roman" w:cs="Times New Roman"/>
          <w:i/>
          <w:iCs/>
          <w:position w:val="-2"/>
          <w:vertAlign w:val="subscript"/>
          <w:lang w:eastAsia="en-GB"/>
        </w:rPr>
        <w:t>h</w:t>
      </w:r>
      <w:r w:rsidR="00F7298A">
        <w:rPr>
          <w:rFonts w:ascii="Times New Roman" w:hAnsi="Times New Roman" w:cs="Times New Roman"/>
          <w:lang w:eastAsia="en-GB"/>
        </w:rPr>
        <w:t>)</w:t>
      </w:r>
      <w:r w:rsidR="00CF6BEC">
        <w:rPr>
          <w:rFonts w:cstheme="minorHAnsi"/>
          <w:lang w:eastAsia="en-GB"/>
        </w:rPr>
        <w:t xml:space="preserve">, </w:t>
      </w:r>
      <w:r w:rsidR="005E5C76">
        <w:rPr>
          <w:rFonts w:cstheme="minorHAnsi"/>
          <w:lang w:eastAsia="en-GB"/>
        </w:rPr>
        <w:t>along with the</w:t>
      </w:r>
      <w:r w:rsidR="00CF6BEC">
        <w:rPr>
          <w:rFonts w:cstheme="minorHAnsi"/>
          <w:lang w:eastAsia="en-GB"/>
        </w:rPr>
        <w:t xml:space="preserve"> degree of unidimensionality of the data through the </w:t>
      </w:r>
      <w:r w:rsidR="00CF6BEC" w:rsidRPr="00462690">
        <w:rPr>
          <w:rFonts w:cstheme="minorHAnsi"/>
          <w:i/>
          <w:iCs/>
          <w:lang w:eastAsia="en-GB"/>
        </w:rPr>
        <w:t>explained common variance</w:t>
      </w:r>
      <w:r w:rsidR="00CF6BEC">
        <w:rPr>
          <w:rFonts w:cstheme="minorHAnsi"/>
          <w:lang w:eastAsia="en-GB"/>
        </w:rPr>
        <w:t xml:space="preserve"> (ECV)</w:t>
      </w:r>
      <w:r w:rsidR="003C633B">
        <w:rPr>
          <w:rFonts w:cstheme="minorHAnsi"/>
          <w:lang w:eastAsia="en-GB"/>
        </w:rPr>
        <w:t>,</w:t>
      </w:r>
      <w:r w:rsidR="00CF6BEC">
        <w:rPr>
          <w:rFonts w:cstheme="minorHAnsi"/>
          <w:lang w:eastAsia="en-GB"/>
        </w:rPr>
        <w:t xml:space="preserve"> </w:t>
      </w:r>
      <w:r w:rsidR="00CF6BEC" w:rsidRPr="00462690">
        <w:rPr>
          <w:rFonts w:cstheme="minorHAnsi"/>
          <w:i/>
          <w:iCs/>
          <w:lang w:eastAsia="en-GB"/>
        </w:rPr>
        <w:t>percentage uncontaminated correlations</w:t>
      </w:r>
      <w:r w:rsidR="00CF6BEC">
        <w:rPr>
          <w:rFonts w:cstheme="minorHAnsi"/>
          <w:lang w:eastAsia="en-GB"/>
        </w:rPr>
        <w:t xml:space="preserve"> (PUC), and </w:t>
      </w:r>
      <w:r w:rsidR="00CF6BEC" w:rsidRPr="00462690">
        <w:rPr>
          <w:rFonts w:cstheme="minorHAnsi"/>
          <w:i/>
          <w:iCs/>
          <w:lang w:eastAsia="en-GB"/>
        </w:rPr>
        <w:t>average relative parameter bias</w:t>
      </w:r>
      <w:r w:rsidR="00CF6BEC">
        <w:rPr>
          <w:rFonts w:cstheme="minorHAnsi"/>
          <w:lang w:eastAsia="en-GB"/>
        </w:rPr>
        <w:t xml:space="preserve"> (ARPB</w:t>
      </w:r>
      <w:r w:rsidR="005A682E">
        <w:rPr>
          <w:rFonts w:cstheme="minorHAnsi"/>
          <w:lang w:eastAsia="en-GB"/>
        </w:rPr>
        <w:t>;</w:t>
      </w:r>
      <w:r w:rsidR="00CF6BEC">
        <w:rPr>
          <w:rFonts w:cstheme="minorHAnsi"/>
          <w:lang w:eastAsia="en-GB"/>
        </w:rPr>
        <w:t xml:space="preserve"> </w:t>
      </w:r>
      <w:r w:rsidRPr="00996F86">
        <w:t>Forbes et al., 2021; Rodriguez et al., 2016a, 2016b).</w:t>
      </w:r>
      <w:r w:rsidR="0066146C" w:rsidRPr="00B424A1">
        <w:rPr>
          <w:rFonts w:ascii="Times New Roman" w:hAnsi="Times New Roman" w:cs="Times New Roman"/>
          <w:lang w:eastAsia="en-GB"/>
        </w:rPr>
        <w:t xml:space="preserve"> </w:t>
      </w:r>
      <w:r w:rsidR="00462690">
        <w:rPr>
          <w:rFonts w:ascii="Times New Roman" w:hAnsi="Times New Roman" w:cs="Times New Roman"/>
          <w:lang w:eastAsia="en-GB"/>
        </w:rPr>
        <w:t>In summary</w:t>
      </w:r>
      <w:r w:rsidR="00C64A48">
        <w:rPr>
          <w:rFonts w:ascii="Times New Roman" w:hAnsi="Times New Roman" w:cs="Times New Roman"/>
          <w:lang w:eastAsia="en-GB"/>
        </w:rPr>
        <w:t xml:space="preserve">, </w:t>
      </w:r>
      <w:r w:rsidR="005E5C76">
        <w:rPr>
          <w:rFonts w:ascii="Times New Roman" w:hAnsi="Times New Roman" w:cs="Times New Roman"/>
          <w:lang w:eastAsia="en-GB"/>
        </w:rPr>
        <w:t>a large</w:t>
      </w:r>
      <w:r w:rsidR="00D54985" w:rsidRPr="00B424A1">
        <w:rPr>
          <w:rFonts w:ascii="Times New Roman" w:hAnsi="Times New Roman" w:cs="Times New Roman"/>
          <w:lang w:eastAsia="en-GB"/>
        </w:rPr>
        <w:t xml:space="preserve"> </w:t>
      </w:r>
      <w:r w:rsidR="00D54985" w:rsidRPr="00B424A1">
        <w:rPr>
          <w:rFonts w:ascii="Times New Roman" w:eastAsia="MS Gothic" w:hAnsi="Times New Roman" w:cs="Times New Roman"/>
          <w:lang w:eastAsia="en-GB"/>
        </w:rPr>
        <w:t>ω</w:t>
      </w:r>
      <w:r w:rsidR="00D54985" w:rsidRPr="00B424A1">
        <w:rPr>
          <w:rFonts w:ascii="Times New Roman" w:hAnsi="Times New Roman" w:cs="Times New Roman"/>
          <w:i/>
          <w:iCs/>
          <w:position w:val="-2"/>
          <w:vertAlign w:val="subscript"/>
          <w:lang w:eastAsia="en-GB"/>
        </w:rPr>
        <w:t>h</w:t>
      </w:r>
      <w:r w:rsidR="00D54985" w:rsidRPr="00B424A1">
        <w:rPr>
          <w:rFonts w:ascii="Times New Roman" w:hAnsi="Times New Roman" w:cs="Times New Roman"/>
          <w:lang w:eastAsia="en-GB"/>
        </w:rPr>
        <w:t xml:space="preserve"> value </w:t>
      </w:r>
      <w:r w:rsidR="00C64A48">
        <w:rPr>
          <w:rFonts w:ascii="Times New Roman" w:hAnsi="Times New Roman" w:cs="Times New Roman"/>
          <w:lang w:eastAsia="en-GB"/>
        </w:rPr>
        <w:t>for the general factor and</w:t>
      </w:r>
      <w:r w:rsidR="00D54985" w:rsidRPr="00B424A1">
        <w:rPr>
          <w:rFonts w:ascii="Times New Roman" w:hAnsi="Times New Roman" w:cs="Times New Roman"/>
          <w:lang w:eastAsia="en-GB"/>
        </w:rPr>
        <w:t xml:space="preserve"> relatively smaller </w:t>
      </w:r>
      <w:r w:rsidR="00D54985" w:rsidRPr="00B424A1">
        <w:rPr>
          <w:rFonts w:ascii="Times New Roman" w:eastAsia="MS Gothic" w:hAnsi="Times New Roman" w:cs="Times New Roman"/>
          <w:lang w:eastAsia="en-GB"/>
        </w:rPr>
        <w:t>ω</w:t>
      </w:r>
      <w:r w:rsidR="00D54985" w:rsidRPr="00B424A1">
        <w:rPr>
          <w:rFonts w:ascii="Times New Roman" w:hAnsi="Times New Roman" w:cs="Times New Roman"/>
          <w:i/>
          <w:iCs/>
          <w:position w:val="-2"/>
          <w:vertAlign w:val="subscript"/>
          <w:lang w:eastAsia="en-GB"/>
        </w:rPr>
        <w:t>h</w:t>
      </w:r>
      <w:r w:rsidR="00D54985" w:rsidRPr="00B424A1">
        <w:rPr>
          <w:rFonts w:ascii="Times New Roman" w:hAnsi="Times New Roman" w:cs="Times New Roman"/>
          <w:lang w:eastAsia="en-GB"/>
        </w:rPr>
        <w:t xml:space="preserve"> </w:t>
      </w:r>
      <w:r w:rsidR="00C64A48">
        <w:rPr>
          <w:rFonts w:ascii="Times New Roman" w:hAnsi="Times New Roman" w:cs="Times New Roman"/>
          <w:lang w:eastAsia="en-GB"/>
        </w:rPr>
        <w:t>values for the specific factors (</w:t>
      </w:r>
      <w:r w:rsidR="00C64A48" w:rsidRPr="00B424A1">
        <w:rPr>
          <w:rFonts w:ascii="Times New Roman" w:eastAsia="MS Gothic" w:hAnsi="Times New Roman" w:cs="Times New Roman"/>
          <w:lang w:eastAsia="en-GB"/>
        </w:rPr>
        <w:t>ω</w:t>
      </w:r>
      <w:r w:rsidR="00C64A48" w:rsidRPr="00B424A1">
        <w:rPr>
          <w:rFonts w:ascii="Times New Roman" w:hAnsi="Times New Roman" w:cs="Times New Roman"/>
          <w:i/>
          <w:iCs/>
          <w:position w:val="-2"/>
          <w:vertAlign w:val="subscript"/>
          <w:lang w:eastAsia="en-GB"/>
        </w:rPr>
        <w:t>h</w:t>
      </w:r>
      <w:r w:rsidR="00C64A48">
        <w:rPr>
          <w:rFonts w:ascii="Times New Roman" w:hAnsi="Times New Roman" w:cs="Times New Roman"/>
          <w:i/>
          <w:iCs/>
          <w:position w:val="-2"/>
          <w:vertAlign w:val="subscript"/>
          <w:lang w:eastAsia="en-GB"/>
        </w:rPr>
        <w:t>s</w:t>
      </w:r>
      <w:r w:rsidR="00C64A48">
        <w:rPr>
          <w:rFonts w:ascii="Times New Roman" w:hAnsi="Times New Roman" w:cs="Times New Roman"/>
          <w:lang w:eastAsia="en-GB"/>
        </w:rPr>
        <w:t xml:space="preserve">) </w:t>
      </w:r>
      <w:r w:rsidR="00462690">
        <w:rPr>
          <w:rFonts w:ascii="Times New Roman" w:hAnsi="Times New Roman" w:cs="Times New Roman"/>
          <w:lang w:eastAsia="en-GB"/>
        </w:rPr>
        <w:t>suggest</w:t>
      </w:r>
      <w:r w:rsidR="00D54985" w:rsidRPr="00B424A1">
        <w:rPr>
          <w:rFonts w:ascii="Times New Roman" w:hAnsi="Times New Roman" w:cs="Times New Roman"/>
          <w:lang w:eastAsia="en-GB"/>
        </w:rPr>
        <w:t xml:space="preserve"> that the </w:t>
      </w:r>
      <w:r w:rsidR="00C64A48">
        <w:rPr>
          <w:rFonts w:ascii="Times New Roman" w:hAnsi="Times New Roman" w:cs="Times New Roman"/>
          <w:lang w:eastAsia="en-GB"/>
        </w:rPr>
        <w:t xml:space="preserve">specific factors add </w:t>
      </w:r>
      <w:r w:rsidR="002D069E" w:rsidRPr="00B424A1">
        <w:rPr>
          <w:rFonts w:ascii="Times New Roman" w:hAnsi="Times New Roman" w:cs="Times New Roman"/>
          <w:lang w:eastAsia="en-GB"/>
        </w:rPr>
        <w:t>little</w:t>
      </w:r>
      <w:r w:rsidR="006F14B0" w:rsidRPr="00B424A1">
        <w:rPr>
          <w:rFonts w:ascii="Times New Roman" w:hAnsi="Times New Roman" w:cs="Times New Roman"/>
          <w:lang w:eastAsia="en-GB"/>
        </w:rPr>
        <w:t xml:space="preserve"> </w:t>
      </w:r>
      <w:r w:rsidR="00C64A48">
        <w:rPr>
          <w:rFonts w:ascii="Times New Roman" w:hAnsi="Times New Roman" w:cs="Times New Roman"/>
          <w:lang w:eastAsia="en-GB"/>
        </w:rPr>
        <w:t xml:space="preserve">meaningful </w:t>
      </w:r>
      <w:r w:rsidR="002D069E" w:rsidRPr="00B424A1">
        <w:rPr>
          <w:rFonts w:ascii="Times New Roman" w:hAnsi="Times New Roman" w:cs="Times New Roman"/>
          <w:lang w:eastAsia="en-GB"/>
        </w:rPr>
        <w:t xml:space="preserve">information </w:t>
      </w:r>
      <w:r w:rsidR="006F14B0" w:rsidRPr="00B424A1">
        <w:rPr>
          <w:rFonts w:ascii="Times New Roman" w:hAnsi="Times New Roman" w:cs="Times New Roman"/>
          <w:lang w:eastAsia="en-GB"/>
        </w:rPr>
        <w:t>beyond t</w:t>
      </w:r>
      <w:r w:rsidR="005E5C76">
        <w:rPr>
          <w:rFonts w:ascii="Times New Roman" w:hAnsi="Times New Roman" w:cs="Times New Roman"/>
          <w:lang w:eastAsia="en-GB"/>
        </w:rPr>
        <w:t xml:space="preserve">hat provided by the </w:t>
      </w:r>
      <w:r w:rsidR="00C64A48">
        <w:rPr>
          <w:rFonts w:ascii="Times New Roman" w:hAnsi="Times New Roman" w:cs="Times New Roman"/>
          <w:lang w:eastAsia="en-GB"/>
        </w:rPr>
        <w:t>general factor</w:t>
      </w:r>
      <w:r w:rsidR="006F14B0" w:rsidRPr="00B424A1">
        <w:rPr>
          <w:rFonts w:ascii="Times New Roman" w:hAnsi="Times New Roman" w:cs="Times New Roman"/>
          <w:lang w:eastAsia="en-GB"/>
        </w:rPr>
        <w:t xml:space="preserve">. </w:t>
      </w:r>
      <w:r w:rsidR="00116306" w:rsidRPr="00B424A1">
        <w:rPr>
          <w:rFonts w:ascii="Times New Roman" w:hAnsi="Times New Roman" w:cs="Times New Roman"/>
          <w:lang w:eastAsia="en-GB"/>
        </w:rPr>
        <w:t xml:space="preserve">Furthermore, </w:t>
      </w:r>
      <w:r w:rsidR="005E5C76">
        <w:rPr>
          <w:rFonts w:ascii="Times New Roman" w:hAnsi="Times New Roman" w:cs="Times New Roman"/>
          <w:lang w:eastAsia="en-GB"/>
        </w:rPr>
        <w:t>high</w:t>
      </w:r>
      <w:r w:rsidR="00EF00C1" w:rsidRPr="00B424A1">
        <w:rPr>
          <w:rFonts w:ascii="Times New Roman" w:hAnsi="Times New Roman" w:cs="Times New Roman"/>
          <w:lang w:eastAsia="en-GB"/>
        </w:rPr>
        <w:t xml:space="preserve"> ECV and PUC</w:t>
      </w:r>
      <w:r w:rsidR="003C633B">
        <w:rPr>
          <w:rFonts w:ascii="Times New Roman" w:hAnsi="Times New Roman" w:cs="Times New Roman"/>
          <w:lang w:eastAsia="en-GB"/>
        </w:rPr>
        <w:t xml:space="preserve">, </w:t>
      </w:r>
      <w:r w:rsidR="00462690">
        <w:rPr>
          <w:rFonts w:ascii="Times New Roman" w:hAnsi="Times New Roman" w:cs="Times New Roman"/>
          <w:lang w:eastAsia="en-GB"/>
        </w:rPr>
        <w:t>accompanied by</w:t>
      </w:r>
      <w:r w:rsidR="003C633B">
        <w:rPr>
          <w:rFonts w:ascii="Times New Roman" w:hAnsi="Times New Roman" w:cs="Times New Roman"/>
          <w:lang w:eastAsia="en-GB"/>
        </w:rPr>
        <w:t xml:space="preserve"> </w:t>
      </w:r>
      <w:r w:rsidR="005E5C76">
        <w:rPr>
          <w:rFonts w:ascii="Times New Roman" w:hAnsi="Times New Roman" w:cs="Times New Roman"/>
          <w:lang w:eastAsia="en-GB"/>
        </w:rPr>
        <w:t>low</w:t>
      </w:r>
      <w:r w:rsidR="003C633B">
        <w:rPr>
          <w:rFonts w:ascii="Times New Roman" w:hAnsi="Times New Roman" w:cs="Times New Roman"/>
          <w:lang w:eastAsia="en-GB"/>
        </w:rPr>
        <w:t xml:space="preserve"> </w:t>
      </w:r>
      <w:r w:rsidR="00EF00C1" w:rsidRPr="00B424A1">
        <w:rPr>
          <w:rFonts w:ascii="Times New Roman" w:hAnsi="Times New Roman" w:cs="Times New Roman"/>
          <w:lang w:eastAsia="en-GB"/>
        </w:rPr>
        <w:t>ARPB</w:t>
      </w:r>
      <w:r w:rsidR="003C633B">
        <w:rPr>
          <w:rFonts w:ascii="Times New Roman" w:hAnsi="Times New Roman" w:cs="Times New Roman"/>
          <w:lang w:eastAsia="en-GB"/>
        </w:rPr>
        <w:t>,</w:t>
      </w:r>
      <w:r w:rsidR="00EF00C1" w:rsidRPr="00B424A1">
        <w:rPr>
          <w:rFonts w:ascii="Times New Roman" w:hAnsi="Times New Roman" w:cs="Times New Roman"/>
          <w:lang w:eastAsia="en-GB"/>
        </w:rPr>
        <w:t xml:space="preserve"> </w:t>
      </w:r>
      <w:r w:rsidR="00C64A48">
        <w:rPr>
          <w:rFonts w:ascii="Times New Roman" w:hAnsi="Times New Roman" w:cs="Times New Roman"/>
          <w:lang w:eastAsia="en-GB"/>
        </w:rPr>
        <w:t xml:space="preserve">indicate </w:t>
      </w:r>
      <w:r w:rsidR="00C64A48">
        <w:rPr>
          <w:rFonts w:ascii="Times New Roman" w:hAnsi="Times New Roman" w:cs="Times New Roman"/>
          <w:lang w:eastAsia="en-GB"/>
        </w:rPr>
        <w:lastRenderedPageBreak/>
        <w:t>that the</w:t>
      </w:r>
      <w:r w:rsidR="00EF00C1" w:rsidRPr="00B424A1">
        <w:rPr>
          <w:rFonts w:ascii="Times New Roman" w:hAnsi="Times New Roman" w:cs="Times New Roman"/>
          <w:lang w:eastAsia="en-GB"/>
        </w:rPr>
        <w:t xml:space="preserve"> </w:t>
      </w:r>
      <w:r w:rsidR="00C64A48">
        <w:rPr>
          <w:rFonts w:ascii="Times New Roman" w:hAnsi="Times New Roman" w:cs="Times New Roman"/>
          <w:lang w:eastAsia="en-GB"/>
        </w:rPr>
        <w:t>data structure can be considered essentially unidimensional</w:t>
      </w:r>
      <w:r w:rsidR="003C633B">
        <w:rPr>
          <w:rFonts w:ascii="Times New Roman" w:hAnsi="Times New Roman" w:cs="Times New Roman"/>
          <w:lang w:eastAsia="en-GB"/>
        </w:rPr>
        <w:t xml:space="preserve">, </w:t>
      </w:r>
      <w:r w:rsidR="00C64A48">
        <w:rPr>
          <w:rFonts w:ascii="Times New Roman" w:hAnsi="Times New Roman" w:cs="Times New Roman"/>
          <w:lang w:eastAsia="en-GB"/>
        </w:rPr>
        <w:t>adequately captured by a single factor alone</w:t>
      </w:r>
      <w:r w:rsidR="003C633B">
        <w:rPr>
          <w:rFonts w:ascii="Times New Roman" w:hAnsi="Times New Roman" w:cs="Times New Roman"/>
          <w:lang w:eastAsia="en-GB"/>
        </w:rPr>
        <w:t xml:space="preserve">. When a bifactor model is applied to a psychometric instrument and the above </w:t>
      </w:r>
      <w:r w:rsidR="00EF00C1" w:rsidRPr="00B424A1">
        <w:rPr>
          <w:rFonts w:ascii="Times New Roman" w:hAnsi="Times New Roman" w:cs="Times New Roman"/>
          <w:lang w:eastAsia="en-GB"/>
        </w:rPr>
        <w:t>conditions are met</w:t>
      </w:r>
      <w:r w:rsidR="003C633B">
        <w:rPr>
          <w:rFonts w:ascii="Times New Roman" w:hAnsi="Times New Roman" w:cs="Times New Roman"/>
          <w:lang w:eastAsia="en-GB"/>
        </w:rPr>
        <w:t xml:space="preserve">, it may be concluded that the instrument </w:t>
      </w:r>
      <w:r w:rsidR="005E5C76">
        <w:rPr>
          <w:rFonts w:ascii="Times New Roman" w:hAnsi="Times New Roman" w:cs="Times New Roman"/>
          <w:lang w:eastAsia="en-GB"/>
        </w:rPr>
        <w:t xml:space="preserve">does not reliably </w:t>
      </w:r>
      <w:r w:rsidR="003C633B">
        <w:rPr>
          <w:rFonts w:ascii="Times New Roman" w:hAnsi="Times New Roman" w:cs="Times New Roman"/>
          <w:lang w:eastAsia="en-GB"/>
        </w:rPr>
        <w:t>discriminate between different specific facets (e.g., depression, anxiety, and stress)</w:t>
      </w:r>
      <w:r w:rsidR="00462690">
        <w:rPr>
          <w:rFonts w:ascii="Times New Roman" w:hAnsi="Times New Roman" w:cs="Times New Roman"/>
          <w:lang w:eastAsia="en-GB"/>
        </w:rPr>
        <w:t>, as most variance in the instrument’s scores reflects a single underlying factor (Reise et al., 2007; Rodriguez et al., 2016a).</w:t>
      </w:r>
    </w:p>
    <w:p w14:paraId="751F62DC" w14:textId="4AD9D9A6" w:rsidR="006C495A" w:rsidRPr="00B424A1" w:rsidRDefault="005E5C76" w:rsidP="00462690">
      <w:pPr>
        <w:widowControl w:val="0"/>
        <w:autoSpaceDE w:val="0"/>
        <w:autoSpaceDN w:val="0"/>
        <w:adjustRightInd w:val="0"/>
        <w:rPr>
          <w:rFonts w:ascii="Times New Roman" w:hAnsi="Times New Roman" w:cs="Times New Roman"/>
          <w:lang w:eastAsia="en-GB"/>
        </w:rPr>
      </w:pPr>
      <w:r>
        <w:rPr>
          <w:rFonts w:ascii="Times New Roman" w:hAnsi="Times New Roman" w:cs="Times New Roman"/>
          <w:lang w:eastAsia="en-GB"/>
        </w:rPr>
        <w:t>T</w:t>
      </w:r>
      <w:r w:rsidR="00C47B0B">
        <w:rPr>
          <w:rFonts w:ascii="Times New Roman" w:hAnsi="Times New Roman" w:cs="Times New Roman"/>
          <w:lang w:eastAsia="en-GB"/>
        </w:rPr>
        <w:t>o date, t</w:t>
      </w:r>
      <w:r>
        <w:rPr>
          <w:rFonts w:ascii="Times New Roman" w:hAnsi="Times New Roman" w:cs="Times New Roman"/>
          <w:lang w:eastAsia="en-GB"/>
        </w:rPr>
        <w:t>hese bifactor statistical indices have</w:t>
      </w:r>
      <w:r w:rsidR="00657272" w:rsidRPr="00B424A1">
        <w:rPr>
          <w:rFonts w:ascii="Times New Roman" w:hAnsi="Times New Roman" w:cs="Times New Roman"/>
          <w:lang w:eastAsia="en-GB"/>
        </w:rPr>
        <w:t xml:space="preserve"> not been </w:t>
      </w:r>
      <w:r w:rsidR="00C47B0B">
        <w:rPr>
          <w:rFonts w:ascii="Times New Roman" w:hAnsi="Times New Roman" w:cs="Times New Roman"/>
          <w:lang w:eastAsia="en-GB"/>
        </w:rPr>
        <w:t>utilized</w:t>
      </w:r>
      <w:r w:rsidR="00657272" w:rsidRPr="00B424A1">
        <w:rPr>
          <w:rFonts w:ascii="Times New Roman" w:hAnsi="Times New Roman" w:cs="Times New Roman"/>
          <w:lang w:eastAsia="en-GB"/>
        </w:rPr>
        <w:t xml:space="preserve"> </w:t>
      </w:r>
      <w:r>
        <w:rPr>
          <w:rFonts w:ascii="Times New Roman" w:hAnsi="Times New Roman" w:cs="Times New Roman"/>
          <w:lang w:eastAsia="en-GB"/>
        </w:rPr>
        <w:t>to assess the hierarchical structure of the DASS in TBI</w:t>
      </w:r>
      <w:r w:rsidR="00657272" w:rsidRPr="00B424A1">
        <w:rPr>
          <w:rFonts w:ascii="Times New Roman" w:hAnsi="Times New Roman" w:cs="Times New Roman"/>
          <w:lang w:eastAsia="en-GB"/>
        </w:rPr>
        <w:t xml:space="preserve">. </w:t>
      </w:r>
      <w:r w:rsidR="00462690">
        <w:rPr>
          <w:rFonts w:ascii="Times New Roman" w:hAnsi="Times New Roman" w:cs="Times New Roman"/>
          <w:lang w:eastAsia="en-GB"/>
        </w:rPr>
        <w:t>To demonstrate the prior application of this methodology</w:t>
      </w:r>
      <w:r w:rsidR="00657272" w:rsidRPr="00B424A1">
        <w:rPr>
          <w:rFonts w:ascii="Times New Roman" w:hAnsi="Times New Roman" w:cs="Times New Roman"/>
          <w:lang w:eastAsia="en-GB"/>
        </w:rPr>
        <w:t xml:space="preserve">, </w:t>
      </w:r>
      <w:r w:rsidR="005A682E">
        <w:rPr>
          <w:rFonts w:ascii="Times New Roman" w:hAnsi="Times New Roman" w:cs="Times New Roman"/>
          <w:lang w:eastAsia="en-GB"/>
        </w:rPr>
        <w:t xml:space="preserve">a large number of </w:t>
      </w:r>
      <w:r w:rsidR="00657272" w:rsidRPr="00B424A1">
        <w:rPr>
          <w:rFonts w:ascii="Times New Roman" w:hAnsi="Times New Roman" w:cs="Times New Roman"/>
          <w:lang w:eastAsia="en-GB"/>
        </w:rPr>
        <w:t xml:space="preserve">studies in </w:t>
      </w:r>
      <w:r w:rsidR="001679F5" w:rsidRPr="00B424A1">
        <w:rPr>
          <w:rFonts w:ascii="Times New Roman" w:hAnsi="Times New Roman" w:cs="Times New Roman"/>
          <w:lang w:eastAsia="en-GB"/>
        </w:rPr>
        <w:t>non-TBI populations</w:t>
      </w:r>
      <w:r w:rsidR="00462690">
        <w:rPr>
          <w:rFonts w:ascii="Times New Roman" w:hAnsi="Times New Roman" w:cs="Times New Roman"/>
          <w:lang w:eastAsia="en-GB"/>
        </w:rPr>
        <w:t xml:space="preserve">, employing the </w:t>
      </w:r>
      <w:r w:rsidR="00462690" w:rsidRPr="00B424A1">
        <w:rPr>
          <w:rFonts w:ascii="Times New Roman" w:eastAsia="MS Gothic" w:hAnsi="Times New Roman" w:cs="Times New Roman"/>
          <w:lang w:eastAsia="en-GB"/>
        </w:rPr>
        <w:t>ω</w:t>
      </w:r>
      <w:r w:rsidR="00462690" w:rsidRPr="00B424A1">
        <w:rPr>
          <w:rFonts w:ascii="Times New Roman" w:hAnsi="Times New Roman" w:cs="Times New Roman"/>
          <w:i/>
          <w:iCs/>
          <w:position w:val="-2"/>
          <w:vertAlign w:val="subscript"/>
          <w:lang w:eastAsia="en-GB"/>
        </w:rPr>
        <w:t>h</w:t>
      </w:r>
      <w:r w:rsidR="00462690" w:rsidRPr="005E5C76">
        <w:rPr>
          <w:rFonts w:ascii="Times New Roman" w:hAnsi="Times New Roman" w:cs="Times New Roman"/>
          <w:position w:val="-2"/>
          <w:lang w:eastAsia="en-GB"/>
        </w:rPr>
        <w:t xml:space="preserve"> bifactor statistical index</w:t>
      </w:r>
      <w:r w:rsidR="00462690">
        <w:rPr>
          <w:rFonts w:ascii="Times New Roman" w:hAnsi="Times New Roman" w:cs="Times New Roman"/>
          <w:position w:val="-2"/>
          <w:lang w:eastAsia="en-GB"/>
        </w:rPr>
        <w:t>,</w:t>
      </w:r>
      <w:r w:rsidR="00462690">
        <w:rPr>
          <w:rFonts w:ascii="Times New Roman" w:hAnsi="Times New Roman" w:cs="Times New Roman"/>
          <w:lang w:eastAsia="en-GB"/>
        </w:rPr>
        <w:t xml:space="preserve"> </w:t>
      </w:r>
      <w:r w:rsidR="001802A8">
        <w:rPr>
          <w:rFonts w:ascii="Times New Roman" w:hAnsi="Times New Roman" w:cs="Times New Roman"/>
          <w:lang w:eastAsia="en-GB"/>
        </w:rPr>
        <w:t xml:space="preserve">have </w:t>
      </w:r>
      <w:r w:rsidR="00462690">
        <w:rPr>
          <w:rFonts w:ascii="Times New Roman" w:hAnsi="Times New Roman" w:cs="Times New Roman"/>
          <w:lang w:eastAsia="en-GB"/>
        </w:rPr>
        <w:t xml:space="preserve">revealed </w:t>
      </w:r>
      <w:r w:rsidR="00657272" w:rsidRPr="00B424A1">
        <w:rPr>
          <w:rFonts w:ascii="Times New Roman" w:hAnsi="Times New Roman" w:cs="Times New Roman"/>
          <w:lang w:eastAsia="en-GB"/>
        </w:rPr>
        <w:t>that</w:t>
      </w:r>
      <w:r>
        <w:rPr>
          <w:rFonts w:ascii="Times New Roman" w:hAnsi="Times New Roman" w:cs="Times New Roman"/>
          <w:lang w:eastAsia="en-GB"/>
        </w:rPr>
        <w:t xml:space="preserve"> </w:t>
      </w:r>
      <w:r w:rsidR="00657272" w:rsidRPr="00B424A1">
        <w:rPr>
          <w:rFonts w:ascii="Times New Roman" w:hAnsi="Times New Roman" w:cs="Times New Roman"/>
          <w:lang w:eastAsia="en-GB"/>
        </w:rPr>
        <w:t>the</w:t>
      </w:r>
      <w:r w:rsidR="00945B9F" w:rsidRPr="00B424A1">
        <w:rPr>
          <w:rFonts w:ascii="Times New Roman" w:hAnsi="Times New Roman" w:cs="Times New Roman"/>
        </w:rPr>
        <w:t xml:space="preserve"> DASS </w:t>
      </w:r>
      <w:r>
        <w:rPr>
          <w:rFonts w:ascii="Times New Roman" w:hAnsi="Times New Roman" w:cs="Times New Roman"/>
        </w:rPr>
        <w:t xml:space="preserve">data structure </w:t>
      </w:r>
      <w:r w:rsidR="00945B9F" w:rsidRPr="00B424A1">
        <w:rPr>
          <w:rFonts w:ascii="Times New Roman" w:hAnsi="Times New Roman" w:cs="Times New Roman"/>
        </w:rPr>
        <w:t xml:space="preserve">comprises a dominant general distress factor, accounting </w:t>
      </w:r>
      <w:r w:rsidR="002B4859" w:rsidRPr="00B424A1">
        <w:rPr>
          <w:rFonts w:ascii="Times New Roman" w:hAnsi="Times New Roman" w:cs="Times New Roman"/>
        </w:rPr>
        <w:t>for</w:t>
      </w:r>
      <w:r w:rsidR="00945B9F" w:rsidRPr="00B424A1">
        <w:rPr>
          <w:rFonts w:ascii="Times New Roman" w:hAnsi="Times New Roman" w:cs="Times New Roman"/>
        </w:rPr>
        <w:t xml:space="preserve"> </w:t>
      </w:r>
      <w:r w:rsidR="00EC75DE" w:rsidRPr="00B424A1">
        <w:rPr>
          <w:rFonts w:ascii="Times New Roman" w:hAnsi="Times New Roman" w:cs="Times New Roman"/>
        </w:rPr>
        <w:t>82</w:t>
      </w:r>
      <w:r w:rsidR="00945B9F" w:rsidRPr="00B424A1">
        <w:rPr>
          <w:rFonts w:ascii="Times New Roman" w:hAnsi="Times New Roman" w:cs="Times New Roman"/>
        </w:rPr>
        <w:t>–</w:t>
      </w:r>
      <w:r w:rsidR="002B4859" w:rsidRPr="00B424A1">
        <w:rPr>
          <w:rFonts w:ascii="Times New Roman" w:hAnsi="Times New Roman" w:cs="Times New Roman"/>
        </w:rPr>
        <w:t>9</w:t>
      </w:r>
      <w:r w:rsidR="005A682E">
        <w:rPr>
          <w:rFonts w:ascii="Times New Roman" w:hAnsi="Times New Roman" w:cs="Times New Roman"/>
        </w:rPr>
        <w:t>6</w:t>
      </w:r>
      <w:r w:rsidR="002B4859" w:rsidRPr="00B424A1">
        <w:rPr>
          <w:rFonts w:ascii="Times New Roman" w:hAnsi="Times New Roman" w:cs="Times New Roman"/>
        </w:rPr>
        <w:t xml:space="preserve">% </w:t>
      </w:r>
      <w:r w:rsidR="00945B9F" w:rsidRPr="00B424A1">
        <w:rPr>
          <w:rFonts w:ascii="Times New Roman" w:hAnsi="Times New Roman" w:cs="Times New Roman"/>
        </w:rPr>
        <w:t>of the systematic</w:t>
      </w:r>
      <w:r w:rsidR="00462690">
        <w:rPr>
          <w:rFonts w:ascii="Times New Roman" w:hAnsi="Times New Roman" w:cs="Times New Roman"/>
        </w:rPr>
        <w:t xml:space="preserve"> (error-free)</w:t>
      </w:r>
      <w:r w:rsidR="00945B9F" w:rsidRPr="00B424A1">
        <w:rPr>
          <w:rFonts w:ascii="Times New Roman" w:hAnsi="Times New Roman" w:cs="Times New Roman"/>
        </w:rPr>
        <w:t xml:space="preserve"> variance</w:t>
      </w:r>
      <w:r w:rsidR="006A2049" w:rsidRPr="00B424A1">
        <w:rPr>
          <w:rFonts w:ascii="Times New Roman" w:hAnsi="Times New Roman" w:cs="Times New Roman"/>
        </w:rPr>
        <w:t xml:space="preserve"> i</w:t>
      </w:r>
      <w:r w:rsidR="000D17E7">
        <w:rPr>
          <w:rFonts w:ascii="Times New Roman" w:hAnsi="Times New Roman" w:cs="Times New Roman"/>
        </w:rPr>
        <w:t xml:space="preserve">n participants’ </w:t>
      </w:r>
      <w:r w:rsidR="006A2049" w:rsidRPr="00B424A1">
        <w:rPr>
          <w:rFonts w:ascii="Times New Roman" w:hAnsi="Times New Roman" w:cs="Times New Roman"/>
        </w:rPr>
        <w:t>total score</w:t>
      </w:r>
      <w:r w:rsidR="00C47B0B">
        <w:rPr>
          <w:rFonts w:ascii="Times New Roman" w:hAnsi="Times New Roman" w:cs="Times New Roman"/>
        </w:rPr>
        <w:t>s</w:t>
      </w:r>
      <w:r w:rsidR="00135F80" w:rsidRPr="00B424A1">
        <w:rPr>
          <w:rFonts w:ascii="Times New Roman" w:hAnsi="Times New Roman" w:cs="Times New Roman"/>
        </w:rPr>
        <w:t xml:space="preserve"> </w:t>
      </w:r>
      <w:bookmarkStart w:id="8" w:name="_Hlk155867654"/>
      <w:r w:rsidR="00135F80" w:rsidRPr="00B424A1">
        <w:rPr>
          <w:rFonts w:ascii="Times New Roman" w:hAnsi="Times New Roman" w:cs="Times New Roman"/>
        </w:rPr>
        <w:t>(</w:t>
      </w:r>
      <w:r w:rsidR="005A682E">
        <w:rPr>
          <w:rFonts w:ascii="Times New Roman" w:hAnsi="Times New Roman" w:cs="Times New Roman"/>
        </w:rPr>
        <w:t>Bottesi et al., 2015; Chen et al., 2023; Gomez et al., 2020; Jovanovi</w:t>
      </w:r>
      <w:r w:rsidR="00EB4A16">
        <w:rPr>
          <w:rFonts w:ascii="Times New Roman" w:hAnsi="Times New Roman" w:cs="Times New Roman"/>
        </w:rPr>
        <w:t>ć</w:t>
      </w:r>
      <w:r w:rsidR="005A682E">
        <w:rPr>
          <w:rFonts w:ascii="Times New Roman" w:hAnsi="Times New Roman" w:cs="Times New Roman"/>
        </w:rPr>
        <w:t xml:space="preserve"> et al., 2021; </w:t>
      </w:r>
      <w:r w:rsidR="00EC75DE" w:rsidRPr="00B424A1">
        <w:rPr>
          <w:rFonts w:ascii="Times New Roman" w:hAnsi="Times New Roman" w:cs="Times New Roman"/>
        </w:rPr>
        <w:t xml:space="preserve">Kia-Keating et al., 2018; </w:t>
      </w:r>
      <w:proofErr w:type="spellStart"/>
      <w:r w:rsidR="005A682E">
        <w:rPr>
          <w:rFonts w:ascii="Times New Roman" w:hAnsi="Times New Roman" w:cs="Times New Roman"/>
        </w:rPr>
        <w:t>Ko</w:t>
      </w:r>
      <w:r w:rsidR="00EB4A16">
        <w:rPr>
          <w:rFonts w:ascii="Times New Roman" w:hAnsi="Times New Roman" w:cs="Times New Roman"/>
        </w:rPr>
        <w:t>ğ</w:t>
      </w:r>
      <w:r w:rsidR="005A682E">
        <w:rPr>
          <w:rFonts w:ascii="Times New Roman" w:hAnsi="Times New Roman" w:cs="Times New Roman"/>
        </w:rPr>
        <w:t>ar</w:t>
      </w:r>
      <w:proofErr w:type="spellEnd"/>
      <w:r w:rsidR="005A682E">
        <w:rPr>
          <w:rFonts w:ascii="Times New Roman" w:hAnsi="Times New Roman" w:cs="Times New Roman"/>
        </w:rPr>
        <w:t xml:space="preserve"> &amp; </w:t>
      </w:r>
      <w:proofErr w:type="spellStart"/>
      <w:r w:rsidR="005A682E">
        <w:rPr>
          <w:rFonts w:ascii="Times New Roman" w:hAnsi="Times New Roman" w:cs="Times New Roman"/>
        </w:rPr>
        <w:t>Ko</w:t>
      </w:r>
      <w:r w:rsidR="00EB4A16">
        <w:rPr>
          <w:rFonts w:ascii="Times New Roman" w:hAnsi="Times New Roman" w:cs="Times New Roman"/>
        </w:rPr>
        <w:t>ğ</w:t>
      </w:r>
      <w:r w:rsidR="005A682E">
        <w:rPr>
          <w:rFonts w:ascii="Times New Roman" w:hAnsi="Times New Roman" w:cs="Times New Roman"/>
        </w:rPr>
        <w:t>ar</w:t>
      </w:r>
      <w:proofErr w:type="spellEnd"/>
      <w:r w:rsidR="005A682E">
        <w:rPr>
          <w:rFonts w:ascii="Times New Roman" w:hAnsi="Times New Roman" w:cs="Times New Roman"/>
        </w:rPr>
        <w:t xml:space="preserve">, 2023; </w:t>
      </w:r>
      <w:r w:rsidR="00135F80" w:rsidRPr="00B424A1">
        <w:rPr>
          <w:rFonts w:ascii="Times New Roman" w:hAnsi="Times New Roman" w:cs="Times New Roman"/>
          <w:noProof/>
        </w:rPr>
        <w:t>Marshal</w:t>
      </w:r>
      <w:r w:rsidR="00CB33DF" w:rsidRPr="00B424A1">
        <w:rPr>
          <w:rFonts w:ascii="Times New Roman" w:hAnsi="Times New Roman" w:cs="Times New Roman"/>
          <w:noProof/>
        </w:rPr>
        <w:t>l</w:t>
      </w:r>
      <w:r w:rsidR="00135F80" w:rsidRPr="00B424A1">
        <w:rPr>
          <w:rFonts w:ascii="Times New Roman" w:hAnsi="Times New Roman" w:cs="Times New Roman"/>
          <w:noProof/>
        </w:rPr>
        <w:t xml:space="preserve"> et al., 2018; </w:t>
      </w:r>
      <w:r w:rsidR="00200071" w:rsidRPr="00B424A1">
        <w:rPr>
          <w:rFonts w:ascii="Times New Roman" w:hAnsi="Times New Roman" w:cs="Times New Roman"/>
          <w:noProof/>
        </w:rPr>
        <w:t xml:space="preserve">Mihic et al., 2021; </w:t>
      </w:r>
      <w:r w:rsidR="00135F80" w:rsidRPr="00B424A1">
        <w:rPr>
          <w:rFonts w:ascii="Times New Roman" w:hAnsi="Times New Roman" w:cs="Times New Roman"/>
          <w:noProof/>
        </w:rPr>
        <w:t>Moore et al., 2017</w:t>
      </w:r>
      <w:r w:rsidR="00EC75DE" w:rsidRPr="00B424A1">
        <w:rPr>
          <w:rFonts w:ascii="Times New Roman" w:hAnsi="Times New Roman" w:cs="Times New Roman"/>
          <w:noProof/>
        </w:rPr>
        <w:t xml:space="preserve">; </w:t>
      </w:r>
      <w:r w:rsidR="005A682E">
        <w:rPr>
          <w:rFonts w:ascii="Times New Roman" w:hAnsi="Times New Roman" w:cs="Times New Roman"/>
          <w:noProof/>
        </w:rPr>
        <w:t xml:space="preserve">Murphy et al., 2023; </w:t>
      </w:r>
      <w:r w:rsidR="00CB33DF" w:rsidRPr="00B424A1">
        <w:rPr>
          <w:rFonts w:ascii="Times New Roman" w:hAnsi="Times New Roman" w:cs="Times New Roman"/>
          <w:noProof/>
        </w:rPr>
        <w:t>Naumova, 2022</w:t>
      </w:r>
      <w:r w:rsidR="00200071" w:rsidRPr="00B424A1">
        <w:rPr>
          <w:rFonts w:ascii="Times New Roman" w:hAnsi="Times New Roman" w:cs="Times New Roman"/>
          <w:noProof/>
        </w:rPr>
        <w:t xml:space="preserve">; </w:t>
      </w:r>
      <w:r w:rsidR="005A682E">
        <w:rPr>
          <w:rFonts w:ascii="Times New Roman" w:hAnsi="Times New Roman" w:cs="Times New Roman"/>
          <w:noProof/>
        </w:rPr>
        <w:t>Peixoto et al., 2022; Shaw et al., 201</w:t>
      </w:r>
      <w:r w:rsidR="00943049">
        <w:rPr>
          <w:rFonts w:ascii="Times New Roman" w:hAnsi="Times New Roman" w:cs="Times New Roman"/>
          <w:noProof/>
        </w:rPr>
        <w:t>7</w:t>
      </w:r>
      <w:r w:rsidR="005A682E">
        <w:rPr>
          <w:rFonts w:ascii="Times New Roman" w:hAnsi="Times New Roman" w:cs="Times New Roman"/>
          <w:noProof/>
        </w:rPr>
        <w:t xml:space="preserve">; </w:t>
      </w:r>
      <w:r w:rsidR="00EC75DE" w:rsidRPr="00B424A1">
        <w:rPr>
          <w:rFonts w:ascii="Times New Roman" w:hAnsi="Times New Roman" w:cs="Times New Roman"/>
          <w:noProof/>
        </w:rPr>
        <w:t>Zanon et al., 2021</w:t>
      </w:r>
      <w:r w:rsidR="00135F80" w:rsidRPr="00B424A1">
        <w:rPr>
          <w:rFonts w:ascii="Times New Roman" w:hAnsi="Times New Roman" w:cs="Times New Roman"/>
          <w:noProof/>
        </w:rPr>
        <w:t>)</w:t>
      </w:r>
      <w:bookmarkEnd w:id="8"/>
      <w:r w:rsidR="00C94D0E" w:rsidRPr="00B424A1">
        <w:rPr>
          <w:rFonts w:ascii="Times New Roman" w:hAnsi="Times New Roman" w:cs="Times New Roman"/>
        </w:rPr>
        <w:t xml:space="preserve">. These studies also </w:t>
      </w:r>
      <w:r w:rsidR="00462690">
        <w:rPr>
          <w:rFonts w:ascii="Times New Roman" w:hAnsi="Times New Roman" w:cs="Times New Roman"/>
        </w:rPr>
        <w:t xml:space="preserve">found </w:t>
      </w:r>
      <w:r w:rsidR="00C94D0E" w:rsidRPr="00B424A1">
        <w:rPr>
          <w:rFonts w:ascii="Times New Roman" w:hAnsi="Times New Roman" w:cs="Times New Roman"/>
        </w:rPr>
        <w:t xml:space="preserve">relatively small </w:t>
      </w:r>
      <w:r w:rsidR="000376F5" w:rsidRPr="00B424A1">
        <w:rPr>
          <w:rFonts w:ascii="Times New Roman" w:eastAsia="MS Gothic" w:hAnsi="Times New Roman" w:cs="Times New Roman"/>
          <w:lang w:eastAsia="en-GB"/>
        </w:rPr>
        <w:t>ω</w:t>
      </w:r>
      <w:r w:rsidR="000376F5" w:rsidRPr="00B424A1">
        <w:rPr>
          <w:rFonts w:ascii="Times New Roman" w:hAnsi="Times New Roman" w:cs="Times New Roman"/>
          <w:i/>
          <w:iCs/>
          <w:position w:val="-2"/>
          <w:vertAlign w:val="subscript"/>
          <w:lang w:eastAsia="en-GB"/>
        </w:rPr>
        <w:t>h</w:t>
      </w:r>
      <w:r w:rsidR="00C94D0E" w:rsidRPr="00B424A1">
        <w:rPr>
          <w:rFonts w:ascii="Times New Roman" w:hAnsi="Times New Roman" w:cs="Times New Roman"/>
        </w:rPr>
        <w:t xml:space="preserve"> </w:t>
      </w:r>
      <w:r w:rsidR="005A682E">
        <w:rPr>
          <w:rFonts w:ascii="Times New Roman" w:hAnsi="Times New Roman" w:cs="Times New Roman"/>
        </w:rPr>
        <w:t xml:space="preserve">values </w:t>
      </w:r>
      <w:r w:rsidR="00C94D0E" w:rsidRPr="00B424A1">
        <w:rPr>
          <w:rFonts w:ascii="Times New Roman" w:hAnsi="Times New Roman" w:cs="Times New Roman"/>
        </w:rPr>
        <w:t>for the specific factors</w:t>
      </w:r>
      <w:r w:rsidR="00C34D28" w:rsidRPr="00B424A1">
        <w:rPr>
          <w:rFonts w:ascii="Times New Roman" w:hAnsi="Times New Roman" w:cs="Times New Roman"/>
        </w:rPr>
        <w:t xml:space="preserve"> (</w:t>
      </w:r>
      <w:r w:rsidR="00820B05">
        <w:rPr>
          <w:rFonts w:ascii="Times New Roman" w:eastAsia="Times New Roman" w:hAnsi="Times New Roman" w:cs="Times New Roman"/>
          <w:lang w:eastAsia="en-GB"/>
        </w:rPr>
        <w:t>d</w:t>
      </w:r>
      <w:r w:rsidR="000F26FE" w:rsidRPr="00B424A1">
        <w:rPr>
          <w:rFonts w:ascii="Times New Roman" w:eastAsia="Times New Roman" w:hAnsi="Times New Roman" w:cs="Times New Roman"/>
          <w:lang w:eastAsia="en-GB"/>
        </w:rPr>
        <w:t>epression ω</w:t>
      </w:r>
      <w:r w:rsidR="000F26FE" w:rsidRPr="00B424A1">
        <w:rPr>
          <w:rFonts w:ascii="Times New Roman" w:hAnsi="Times New Roman" w:cs="Times New Roman"/>
          <w:i/>
          <w:iCs/>
          <w:position w:val="-2"/>
          <w:vertAlign w:val="subscript"/>
          <w:lang w:eastAsia="en-GB"/>
        </w:rPr>
        <w:t>hs</w:t>
      </w:r>
      <w:r w:rsidR="000F26FE" w:rsidRPr="00B424A1">
        <w:rPr>
          <w:rFonts w:ascii="Times New Roman" w:eastAsia="Times New Roman" w:hAnsi="Times New Roman" w:cs="Times New Roman"/>
          <w:lang w:eastAsia="en-GB"/>
        </w:rPr>
        <w:t xml:space="preserve"> = .03</w:t>
      </w:r>
      <w:r w:rsidR="000F26FE" w:rsidRPr="00B424A1">
        <w:rPr>
          <w:rFonts w:ascii="Times New Roman" w:hAnsi="Times New Roman" w:cs="Times New Roman"/>
        </w:rPr>
        <w:t>–</w:t>
      </w:r>
      <w:r w:rsidR="005A682E">
        <w:rPr>
          <w:rFonts w:ascii="Times New Roman" w:eastAsia="Times New Roman" w:hAnsi="Times New Roman" w:cs="Times New Roman"/>
          <w:lang w:eastAsia="en-GB"/>
        </w:rPr>
        <w:t>32</w:t>
      </w:r>
      <w:r w:rsidR="000F26FE" w:rsidRPr="00B424A1">
        <w:rPr>
          <w:rFonts w:ascii="Times New Roman" w:eastAsia="Times New Roman" w:hAnsi="Times New Roman" w:cs="Times New Roman"/>
          <w:lang w:eastAsia="en-GB"/>
        </w:rPr>
        <w:t xml:space="preserve">, </w:t>
      </w:r>
      <w:r w:rsidR="00820B05">
        <w:rPr>
          <w:rFonts w:ascii="Times New Roman" w:eastAsia="Times New Roman" w:hAnsi="Times New Roman" w:cs="Times New Roman"/>
          <w:lang w:eastAsia="en-GB"/>
        </w:rPr>
        <w:t>a</w:t>
      </w:r>
      <w:r w:rsidR="000F26FE" w:rsidRPr="00B424A1">
        <w:rPr>
          <w:rFonts w:ascii="Times New Roman" w:eastAsia="Times New Roman" w:hAnsi="Times New Roman" w:cs="Times New Roman"/>
          <w:lang w:eastAsia="en-GB"/>
        </w:rPr>
        <w:t>nxiety ω</w:t>
      </w:r>
      <w:r w:rsidR="000F26FE" w:rsidRPr="00B424A1">
        <w:rPr>
          <w:rFonts w:ascii="Times New Roman" w:hAnsi="Times New Roman" w:cs="Times New Roman"/>
          <w:i/>
          <w:iCs/>
          <w:position w:val="-2"/>
          <w:vertAlign w:val="subscript"/>
          <w:lang w:eastAsia="en-GB"/>
        </w:rPr>
        <w:t>hs</w:t>
      </w:r>
      <w:r w:rsidR="000F26FE" w:rsidRPr="00B424A1">
        <w:rPr>
          <w:rFonts w:ascii="Times New Roman" w:eastAsia="Times New Roman" w:hAnsi="Times New Roman" w:cs="Times New Roman"/>
          <w:lang w:eastAsia="en-GB"/>
        </w:rPr>
        <w:t xml:space="preserve"> = .0</w:t>
      </w:r>
      <w:r w:rsidR="005A682E">
        <w:rPr>
          <w:rFonts w:ascii="Times New Roman" w:eastAsia="Times New Roman" w:hAnsi="Times New Roman" w:cs="Times New Roman"/>
          <w:lang w:eastAsia="en-GB"/>
        </w:rPr>
        <w:t>1</w:t>
      </w:r>
      <w:r w:rsidR="000F26FE" w:rsidRPr="00B424A1">
        <w:rPr>
          <w:rFonts w:ascii="Times New Roman" w:hAnsi="Times New Roman" w:cs="Times New Roman"/>
        </w:rPr>
        <w:t>–</w:t>
      </w:r>
      <w:r w:rsidR="000F26FE" w:rsidRPr="00B424A1">
        <w:rPr>
          <w:rFonts w:ascii="Times New Roman" w:eastAsia="Times New Roman" w:hAnsi="Times New Roman" w:cs="Times New Roman"/>
          <w:lang w:eastAsia="en-GB"/>
        </w:rPr>
        <w:t>.2</w:t>
      </w:r>
      <w:r w:rsidR="005A682E">
        <w:rPr>
          <w:rFonts w:ascii="Times New Roman" w:eastAsia="Times New Roman" w:hAnsi="Times New Roman" w:cs="Times New Roman"/>
          <w:lang w:eastAsia="en-GB"/>
        </w:rPr>
        <w:t>0</w:t>
      </w:r>
      <w:r w:rsidR="000F26FE" w:rsidRPr="00B424A1">
        <w:rPr>
          <w:rFonts w:ascii="Times New Roman" w:eastAsia="Times New Roman" w:hAnsi="Times New Roman" w:cs="Times New Roman"/>
          <w:lang w:eastAsia="en-GB"/>
        </w:rPr>
        <w:t xml:space="preserve">, </w:t>
      </w:r>
      <w:r w:rsidR="00820B05">
        <w:rPr>
          <w:rFonts w:ascii="Times New Roman" w:eastAsia="Times New Roman" w:hAnsi="Times New Roman" w:cs="Times New Roman"/>
          <w:lang w:eastAsia="en-GB"/>
        </w:rPr>
        <w:t>s</w:t>
      </w:r>
      <w:r w:rsidR="000F26FE" w:rsidRPr="00B424A1">
        <w:rPr>
          <w:rFonts w:ascii="Times New Roman" w:eastAsia="Times New Roman" w:hAnsi="Times New Roman" w:cs="Times New Roman"/>
          <w:lang w:eastAsia="en-GB"/>
        </w:rPr>
        <w:t>tress ω</w:t>
      </w:r>
      <w:r w:rsidR="000F26FE" w:rsidRPr="00B424A1">
        <w:rPr>
          <w:rFonts w:ascii="Times New Roman" w:hAnsi="Times New Roman" w:cs="Times New Roman"/>
          <w:i/>
          <w:iCs/>
          <w:position w:val="-2"/>
          <w:vertAlign w:val="subscript"/>
          <w:lang w:eastAsia="en-GB"/>
        </w:rPr>
        <w:t>hs</w:t>
      </w:r>
      <w:r w:rsidR="000F26FE" w:rsidRPr="00B424A1">
        <w:rPr>
          <w:rFonts w:ascii="Times New Roman" w:eastAsia="Times New Roman" w:hAnsi="Times New Roman" w:cs="Times New Roman"/>
          <w:lang w:eastAsia="en-GB"/>
        </w:rPr>
        <w:t xml:space="preserve"> = .003</w:t>
      </w:r>
      <w:r w:rsidR="000F26FE" w:rsidRPr="00B424A1">
        <w:rPr>
          <w:rFonts w:ascii="Times New Roman" w:hAnsi="Times New Roman" w:cs="Times New Roman"/>
        </w:rPr>
        <w:t>–</w:t>
      </w:r>
      <w:r w:rsidR="000F26FE" w:rsidRPr="00B424A1">
        <w:rPr>
          <w:rFonts w:ascii="Times New Roman" w:eastAsia="Times New Roman" w:hAnsi="Times New Roman" w:cs="Times New Roman"/>
          <w:lang w:eastAsia="en-GB"/>
        </w:rPr>
        <w:t>.2</w:t>
      </w:r>
      <w:r w:rsidR="005A682E">
        <w:rPr>
          <w:rFonts w:ascii="Times New Roman" w:eastAsia="Times New Roman" w:hAnsi="Times New Roman" w:cs="Times New Roman"/>
          <w:lang w:eastAsia="en-GB"/>
        </w:rPr>
        <w:t>2</w:t>
      </w:r>
      <w:r w:rsidR="0035159D" w:rsidRPr="00B424A1">
        <w:rPr>
          <w:rFonts w:ascii="Times New Roman" w:hAnsi="Times New Roman" w:cs="Times New Roman"/>
        </w:rPr>
        <w:t>)</w:t>
      </w:r>
      <w:r w:rsidR="00C94D0E" w:rsidRPr="00B424A1">
        <w:rPr>
          <w:rFonts w:ascii="Times New Roman" w:hAnsi="Times New Roman" w:cs="Times New Roman"/>
        </w:rPr>
        <w:t xml:space="preserve">, </w:t>
      </w:r>
      <w:r w:rsidR="00462690">
        <w:rPr>
          <w:rFonts w:ascii="Times New Roman" w:hAnsi="Times New Roman" w:cs="Times New Roman"/>
        </w:rPr>
        <w:t>cautioning against using the conventional three-factor scoring</w:t>
      </w:r>
      <w:r w:rsidR="00462690" w:rsidRPr="00B424A1">
        <w:rPr>
          <w:rFonts w:ascii="Times New Roman" w:hAnsi="Times New Roman" w:cs="Times New Roman"/>
        </w:rPr>
        <w:t xml:space="preserve"> </w:t>
      </w:r>
      <w:r w:rsidR="00462690">
        <w:rPr>
          <w:rFonts w:ascii="Times New Roman" w:hAnsi="Times New Roman" w:cs="Times New Roman"/>
        </w:rPr>
        <w:t>and supporting</w:t>
      </w:r>
      <w:r w:rsidR="00456E0F" w:rsidRPr="00B424A1">
        <w:rPr>
          <w:rFonts w:ascii="Times New Roman" w:hAnsi="Times New Roman" w:cs="Times New Roman"/>
        </w:rPr>
        <w:t xml:space="preserve"> the</w:t>
      </w:r>
      <w:r w:rsidR="00903DA9" w:rsidRPr="00B424A1">
        <w:rPr>
          <w:rFonts w:ascii="Times New Roman" w:hAnsi="Times New Roman" w:cs="Times New Roman"/>
        </w:rPr>
        <w:t xml:space="preserve"> use of the </w:t>
      </w:r>
      <w:r w:rsidR="00E61580" w:rsidRPr="00B424A1">
        <w:rPr>
          <w:rFonts w:ascii="Times New Roman" w:hAnsi="Times New Roman" w:cs="Times New Roman"/>
        </w:rPr>
        <w:t>total</w:t>
      </w:r>
      <w:r w:rsidR="00903DA9" w:rsidRPr="00B424A1">
        <w:rPr>
          <w:rFonts w:ascii="Times New Roman" w:hAnsi="Times New Roman" w:cs="Times New Roman"/>
        </w:rPr>
        <w:t xml:space="preserve"> score</w:t>
      </w:r>
      <w:r w:rsidR="00462690">
        <w:rPr>
          <w:rFonts w:ascii="Times New Roman" w:hAnsi="Times New Roman" w:cs="Times New Roman"/>
        </w:rPr>
        <w:t xml:space="preserve"> instead.</w:t>
      </w:r>
    </w:p>
    <w:p w14:paraId="1D703A39" w14:textId="49296851" w:rsidR="007F7A52" w:rsidRPr="00B424A1" w:rsidRDefault="008E4686" w:rsidP="00357357">
      <w:pPr>
        <w:rPr>
          <w:rFonts w:ascii="Times New Roman" w:hAnsi="Times New Roman" w:cs="Times New Roman"/>
        </w:rPr>
      </w:pPr>
      <w:r>
        <w:rPr>
          <w:rFonts w:cstheme="minorHAnsi"/>
        </w:rPr>
        <w:t>Careful evaluation of the</w:t>
      </w:r>
      <w:r w:rsidR="00AF7E3E" w:rsidRPr="00B424A1">
        <w:rPr>
          <w:rFonts w:cstheme="minorHAnsi"/>
        </w:rPr>
        <w:t xml:space="preserve"> </w:t>
      </w:r>
      <w:r w:rsidR="006F6D95" w:rsidRPr="00B424A1">
        <w:rPr>
          <w:rFonts w:cstheme="minorHAnsi"/>
        </w:rPr>
        <w:t xml:space="preserve">DASS </w:t>
      </w:r>
      <w:r>
        <w:rPr>
          <w:rFonts w:cstheme="minorHAnsi"/>
        </w:rPr>
        <w:t>is important to ensure its</w:t>
      </w:r>
      <w:r w:rsidR="00AF7E3E" w:rsidRPr="00B424A1">
        <w:rPr>
          <w:rFonts w:cstheme="minorHAnsi"/>
        </w:rPr>
        <w:t xml:space="preserve"> appropriate use</w:t>
      </w:r>
      <w:r>
        <w:rPr>
          <w:rFonts w:cstheme="minorHAnsi"/>
        </w:rPr>
        <w:t xml:space="preserve"> and interpretation</w:t>
      </w:r>
      <w:r w:rsidR="00AF7E3E" w:rsidRPr="00B424A1">
        <w:rPr>
          <w:rFonts w:cstheme="minorHAnsi"/>
        </w:rPr>
        <w:t xml:space="preserve"> in</w:t>
      </w:r>
      <w:r w:rsidR="005E5C76">
        <w:rPr>
          <w:rFonts w:cstheme="minorHAnsi"/>
        </w:rPr>
        <w:t xml:space="preserve"> measuring</w:t>
      </w:r>
      <w:r w:rsidR="00E43E7A" w:rsidRPr="00B424A1">
        <w:rPr>
          <w:rFonts w:cstheme="minorHAnsi"/>
        </w:rPr>
        <w:t xml:space="preserve"> emotional </w:t>
      </w:r>
      <w:r w:rsidR="005E5C76">
        <w:rPr>
          <w:rFonts w:cstheme="minorHAnsi"/>
        </w:rPr>
        <w:t>problems</w:t>
      </w:r>
      <w:r w:rsidR="00E43E7A" w:rsidRPr="00B424A1">
        <w:rPr>
          <w:rFonts w:cstheme="minorHAnsi"/>
        </w:rPr>
        <w:t xml:space="preserve"> after TBI</w:t>
      </w:r>
      <w:r w:rsidR="0038088A" w:rsidRPr="00B424A1">
        <w:rPr>
          <w:rFonts w:cstheme="minorHAnsi"/>
        </w:rPr>
        <w:t xml:space="preserve">. </w:t>
      </w:r>
      <w:r w:rsidR="00462690">
        <w:rPr>
          <w:rFonts w:ascii="Times New Roman" w:hAnsi="Times New Roman" w:cs="Times New Roman"/>
          <w:spacing w:val="3"/>
        </w:rPr>
        <w:t>In the present study, we</w:t>
      </w:r>
      <w:r w:rsidR="0064094B" w:rsidRPr="00B424A1">
        <w:rPr>
          <w:rFonts w:ascii="Times New Roman" w:hAnsi="Times New Roman" w:cs="Times New Roman"/>
          <w:spacing w:val="3"/>
        </w:rPr>
        <w:t xml:space="preserve"> </w:t>
      </w:r>
      <w:r>
        <w:rPr>
          <w:rFonts w:ascii="Times New Roman" w:hAnsi="Times New Roman" w:cs="Times New Roman"/>
          <w:spacing w:val="3"/>
        </w:rPr>
        <w:t xml:space="preserve">build upon </w:t>
      </w:r>
      <w:r w:rsidR="0064094B" w:rsidRPr="00B424A1">
        <w:rPr>
          <w:rFonts w:ascii="Times New Roman" w:hAnsi="Times New Roman" w:cs="Times New Roman"/>
          <w:spacing w:val="3"/>
        </w:rPr>
        <w:t>Randall and colleagues</w:t>
      </w:r>
      <w:r>
        <w:rPr>
          <w:rFonts w:ascii="Times New Roman" w:hAnsi="Times New Roman" w:cs="Times New Roman"/>
          <w:spacing w:val="3"/>
        </w:rPr>
        <w:t>’</w:t>
      </w:r>
      <w:r w:rsidR="0064094B" w:rsidRPr="00B424A1">
        <w:rPr>
          <w:rFonts w:ascii="Times New Roman" w:hAnsi="Times New Roman" w:cs="Times New Roman"/>
          <w:spacing w:val="3"/>
        </w:rPr>
        <w:t xml:space="preserve"> </w:t>
      </w:r>
      <w:r w:rsidR="002162FA" w:rsidRPr="00B424A1">
        <w:rPr>
          <w:rFonts w:ascii="Times New Roman" w:hAnsi="Times New Roman" w:cs="Times New Roman"/>
          <w:spacing w:val="3"/>
        </w:rPr>
        <w:t>(2017)</w:t>
      </w:r>
      <w:r>
        <w:rPr>
          <w:rFonts w:ascii="Times New Roman" w:hAnsi="Times New Roman" w:cs="Times New Roman"/>
          <w:spacing w:val="3"/>
        </w:rPr>
        <w:t xml:space="preserve"> previous work by</w:t>
      </w:r>
      <w:r w:rsidR="002162FA" w:rsidRPr="00B424A1">
        <w:rPr>
          <w:rFonts w:ascii="Times New Roman" w:hAnsi="Times New Roman" w:cs="Times New Roman"/>
          <w:spacing w:val="3"/>
        </w:rPr>
        <w:t xml:space="preserve"> </w:t>
      </w:r>
      <w:r>
        <w:rPr>
          <w:rFonts w:ascii="Times New Roman" w:hAnsi="Times New Roman" w:cs="Times New Roman"/>
          <w:spacing w:val="3"/>
        </w:rPr>
        <w:t>employing</w:t>
      </w:r>
      <w:r w:rsidR="002162FA" w:rsidRPr="00B424A1">
        <w:rPr>
          <w:rFonts w:ascii="Times New Roman" w:hAnsi="Times New Roman" w:cs="Times New Roman"/>
          <w:spacing w:val="3"/>
        </w:rPr>
        <w:t xml:space="preserve"> bifactor statistical</w:t>
      </w:r>
      <w:r w:rsidR="0087286B" w:rsidRPr="00B424A1">
        <w:rPr>
          <w:rFonts w:ascii="Times New Roman" w:hAnsi="Times New Roman" w:cs="Times New Roman"/>
          <w:spacing w:val="3"/>
        </w:rPr>
        <w:t xml:space="preserve"> </w:t>
      </w:r>
      <w:r w:rsidR="0064094B" w:rsidRPr="00B424A1">
        <w:rPr>
          <w:rFonts w:ascii="Times New Roman" w:hAnsi="Times New Roman" w:cs="Times New Roman"/>
          <w:spacing w:val="3"/>
        </w:rPr>
        <w:t xml:space="preserve">indices to </w:t>
      </w:r>
      <w:r w:rsidR="002162FA" w:rsidRPr="00B424A1">
        <w:rPr>
          <w:rFonts w:ascii="Times New Roman" w:hAnsi="Times New Roman" w:cs="Times New Roman"/>
          <w:spacing w:val="3"/>
        </w:rPr>
        <w:t>interrogate the hierarchical structure of the DASS</w:t>
      </w:r>
      <w:r w:rsidR="00462690">
        <w:rPr>
          <w:rFonts w:ascii="Times New Roman" w:hAnsi="Times New Roman" w:cs="Times New Roman"/>
          <w:spacing w:val="3"/>
        </w:rPr>
        <w:t xml:space="preserve"> in </w:t>
      </w:r>
      <w:r w:rsidR="00462690" w:rsidRPr="008E4686">
        <w:rPr>
          <w:rFonts w:ascii="Times New Roman" w:hAnsi="Times New Roman" w:cs="Times New Roman"/>
          <w:spacing w:val="3"/>
        </w:rPr>
        <w:t>TBI</w:t>
      </w:r>
      <w:r w:rsidR="002162FA" w:rsidRPr="008E4686">
        <w:rPr>
          <w:rFonts w:ascii="Times New Roman" w:hAnsi="Times New Roman" w:cs="Times New Roman"/>
          <w:spacing w:val="3"/>
        </w:rPr>
        <w:t xml:space="preserve"> more </w:t>
      </w:r>
      <w:r w:rsidR="00F62C72" w:rsidRPr="008E4686">
        <w:rPr>
          <w:rFonts w:ascii="Times New Roman" w:hAnsi="Times New Roman" w:cs="Times New Roman"/>
          <w:spacing w:val="3"/>
        </w:rPr>
        <w:t>closely</w:t>
      </w:r>
      <w:r w:rsidR="0064094B" w:rsidRPr="008E4686">
        <w:rPr>
          <w:rFonts w:ascii="Times New Roman" w:hAnsi="Times New Roman" w:cs="Times New Roman"/>
          <w:spacing w:val="3"/>
        </w:rPr>
        <w:t>. </w:t>
      </w:r>
      <w:r w:rsidR="00462690" w:rsidRPr="008E4686">
        <w:rPr>
          <w:rFonts w:ascii="Times New Roman" w:hAnsi="Times New Roman" w:cs="Times New Roman"/>
        </w:rPr>
        <w:t>O</w:t>
      </w:r>
      <w:r w:rsidR="00495BF9" w:rsidRPr="008E4686">
        <w:rPr>
          <w:rFonts w:ascii="Times New Roman" w:hAnsi="Times New Roman" w:cs="Times New Roman"/>
        </w:rPr>
        <w:t xml:space="preserve">ur aim was </w:t>
      </w:r>
      <w:r w:rsidR="00192E69" w:rsidRPr="008E4686">
        <w:rPr>
          <w:rFonts w:ascii="Times New Roman" w:hAnsi="Times New Roman" w:cs="Times New Roman"/>
        </w:rPr>
        <w:t xml:space="preserve">to </w:t>
      </w:r>
      <w:r w:rsidR="00E528E8" w:rsidRPr="008E4686">
        <w:rPr>
          <w:rFonts w:ascii="Times New Roman" w:hAnsi="Times New Roman" w:cs="Times New Roman"/>
        </w:rPr>
        <w:t>evaluate</w:t>
      </w:r>
      <w:r w:rsidR="007F3B6F" w:rsidRPr="008E4686">
        <w:rPr>
          <w:rFonts w:cstheme="minorHAnsi"/>
        </w:rPr>
        <w:t xml:space="preserve"> </w:t>
      </w:r>
      <w:r w:rsidR="00A3641C" w:rsidRPr="008E4686">
        <w:rPr>
          <w:rFonts w:cstheme="minorHAnsi"/>
        </w:rPr>
        <w:t xml:space="preserve">the </w:t>
      </w:r>
      <w:r w:rsidRPr="008E4686">
        <w:rPr>
          <w:rFonts w:cstheme="minorHAnsi"/>
        </w:rPr>
        <w:t>factor</w:t>
      </w:r>
      <w:r w:rsidR="00192E69" w:rsidRPr="008E4686">
        <w:rPr>
          <w:rFonts w:cstheme="minorHAnsi"/>
        </w:rPr>
        <w:t>-based</w:t>
      </w:r>
      <w:r w:rsidR="007F3B6F" w:rsidRPr="008E4686">
        <w:rPr>
          <w:rFonts w:cstheme="minorHAnsi"/>
        </w:rPr>
        <w:t xml:space="preserve"> </w:t>
      </w:r>
      <w:r w:rsidR="00ED6DAB" w:rsidRPr="008E4686">
        <w:rPr>
          <w:rFonts w:cstheme="minorHAnsi"/>
        </w:rPr>
        <w:t xml:space="preserve">reliability </w:t>
      </w:r>
      <w:r w:rsidR="00FE7C78" w:rsidRPr="008E4686">
        <w:rPr>
          <w:rFonts w:cstheme="minorHAnsi"/>
        </w:rPr>
        <w:t xml:space="preserve">and dimensionality </w:t>
      </w:r>
      <w:r w:rsidR="00ED6DAB" w:rsidRPr="008E4686">
        <w:rPr>
          <w:rFonts w:cstheme="minorHAnsi"/>
        </w:rPr>
        <w:t xml:space="preserve">of </w:t>
      </w:r>
      <w:r w:rsidR="00FE7C78" w:rsidRPr="008E4686">
        <w:rPr>
          <w:rFonts w:cstheme="minorHAnsi"/>
        </w:rPr>
        <w:t>the DAS</w:t>
      </w:r>
      <w:r w:rsidR="00DE34DB" w:rsidRPr="008E4686">
        <w:rPr>
          <w:rFonts w:cstheme="minorHAnsi"/>
        </w:rPr>
        <w:t>S</w:t>
      </w:r>
      <w:r w:rsidR="00A3641C" w:rsidRPr="008E4686">
        <w:rPr>
          <w:rFonts w:cstheme="minorHAnsi"/>
        </w:rPr>
        <w:t xml:space="preserve"> </w:t>
      </w:r>
      <w:r w:rsidR="005E5C76" w:rsidRPr="008E4686">
        <w:rPr>
          <w:rFonts w:cstheme="minorHAnsi"/>
        </w:rPr>
        <w:t>in</w:t>
      </w:r>
      <w:r w:rsidR="00A3641C" w:rsidRPr="008E4686">
        <w:rPr>
          <w:rFonts w:cstheme="minorHAnsi"/>
        </w:rPr>
        <w:t xml:space="preserve"> TBI</w:t>
      </w:r>
      <w:r w:rsidR="00233E81" w:rsidRPr="008E4686">
        <w:rPr>
          <w:rFonts w:cstheme="minorHAnsi"/>
        </w:rPr>
        <w:t xml:space="preserve"> </w:t>
      </w:r>
      <w:r w:rsidR="005A682E">
        <w:rPr>
          <w:rFonts w:cstheme="minorHAnsi"/>
        </w:rPr>
        <w:t xml:space="preserve">utilizing </w:t>
      </w:r>
      <w:r w:rsidR="00295486" w:rsidRPr="008E4686">
        <w:rPr>
          <w:rFonts w:cstheme="minorHAnsi"/>
        </w:rPr>
        <w:t xml:space="preserve">novel </w:t>
      </w:r>
      <w:r w:rsidR="00B462DB" w:rsidRPr="008E4686">
        <w:rPr>
          <w:rFonts w:cstheme="minorHAnsi"/>
        </w:rPr>
        <w:t>bifactor statistical indices</w:t>
      </w:r>
      <w:r w:rsidR="00A3641C" w:rsidRPr="008E4686">
        <w:rPr>
          <w:rFonts w:cstheme="minorHAnsi"/>
        </w:rPr>
        <w:t xml:space="preserve">, </w:t>
      </w:r>
      <w:r w:rsidR="00233E81" w:rsidRPr="008E4686">
        <w:rPr>
          <w:rFonts w:cstheme="minorHAnsi"/>
        </w:rPr>
        <w:t>establish</w:t>
      </w:r>
      <w:r w:rsidR="00A3641C" w:rsidRPr="008E4686">
        <w:rPr>
          <w:rFonts w:cstheme="minorHAnsi"/>
        </w:rPr>
        <w:t>ing</w:t>
      </w:r>
      <w:r w:rsidR="00642F50" w:rsidRPr="008E4686">
        <w:rPr>
          <w:rFonts w:cstheme="minorHAnsi"/>
        </w:rPr>
        <w:t xml:space="preserve"> </w:t>
      </w:r>
      <w:r w:rsidR="009014E5" w:rsidRPr="008E4686">
        <w:rPr>
          <w:rFonts w:cstheme="minorHAnsi"/>
        </w:rPr>
        <w:t xml:space="preserve">whether </w:t>
      </w:r>
      <w:r w:rsidR="00642F50" w:rsidRPr="008E4686">
        <w:rPr>
          <w:rFonts w:cstheme="minorHAnsi"/>
        </w:rPr>
        <w:t xml:space="preserve">the </w:t>
      </w:r>
      <w:r w:rsidR="005E5C76" w:rsidRPr="008E4686">
        <w:rPr>
          <w:rFonts w:cstheme="minorHAnsi"/>
        </w:rPr>
        <w:t xml:space="preserve">individual </w:t>
      </w:r>
      <w:r w:rsidR="00642F50" w:rsidRPr="008E4686">
        <w:rPr>
          <w:rFonts w:cstheme="minorHAnsi"/>
        </w:rPr>
        <w:t>scale</w:t>
      </w:r>
      <w:r w:rsidR="00ED6DAB" w:rsidRPr="008E4686">
        <w:rPr>
          <w:rFonts w:cstheme="minorHAnsi"/>
        </w:rPr>
        <w:t xml:space="preserve"> scores</w:t>
      </w:r>
      <w:r w:rsidR="00C27360" w:rsidRPr="008E4686">
        <w:rPr>
          <w:rFonts w:cstheme="minorHAnsi"/>
        </w:rPr>
        <w:t xml:space="preserve"> (</w:t>
      </w:r>
      <w:r w:rsidR="00F62C72" w:rsidRPr="008E4686">
        <w:rPr>
          <w:rFonts w:cstheme="minorHAnsi"/>
        </w:rPr>
        <w:t xml:space="preserve">separately </w:t>
      </w:r>
      <w:r w:rsidR="00C27360" w:rsidRPr="008E4686">
        <w:rPr>
          <w:rFonts w:cstheme="minorHAnsi"/>
        </w:rPr>
        <w:t>measuring depression</w:t>
      </w:r>
      <w:r w:rsidR="00A633C2">
        <w:rPr>
          <w:rFonts w:cstheme="minorHAnsi"/>
        </w:rPr>
        <w:t>, anxiety,</w:t>
      </w:r>
      <w:r w:rsidR="00C27360" w:rsidRPr="008E4686">
        <w:rPr>
          <w:rFonts w:cstheme="minorHAnsi"/>
        </w:rPr>
        <w:t xml:space="preserve"> and stress</w:t>
      </w:r>
      <w:r w:rsidR="00F62C72" w:rsidRPr="008E4686">
        <w:rPr>
          <w:rFonts w:cstheme="minorHAnsi"/>
        </w:rPr>
        <w:t xml:space="preserve"> symptoms</w:t>
      </w:r>
      <w:r w:rsidR="00C27360" w:rsidRPr="008E4686">
        <w:rPr>
          <w:rFonts w:cstheme="minorHAnsi"/>
        </w:rPr>
        <w:t>)</w:t>
      </w:r>
      <w:r w:rsidR="007F3B6F" w:rsidRPr="008E4686">
        <w:rPr>
          <w:rFonts w:cstheme="minorHAnsi"/>
        </w:rPr>
        <w:t xml:space="preserve"> </w:t>
      </w:r>
      <w:r w:rsidRPr="008E4686">
        <w:rPr>
          <w:rFonts w:cstheme="minorHAnsi"/>
        </w:rPr>
        <w:t>add</w:t>
      </w:r>
      <w:r w:rsidR="00122079" w:rsidRPr="008E4686">
        <w:rPr>
          <w:rFonts w:cstheme="minorHAnsi"/>
        </w:rPr>
        <w:t xml:space="preserve"> </w:t>
      </w:r>
      <w:r w:rsidR="005E5C76" w:rsidRPr="008E4686">
        <w:rPr>
          <w:rFonts w:cstheme="minorHAnsi"/>
        </w:rPr>
        <w:t>meaningful</w:t>
      </w:r>
      <w:r w:rsidR="00122079" w:rsidRPr="008E4686">
        <w:rPr>
          <w:rFonts w:cstheme="minorHAnsi"/>
        </w:rPr>
        <w:t xml:space="preserve"> </w:t>
      </w:r>
      <w:r w:rsidR="00C27360" w:rsidRPr="008E4686">
        <w:rPr>
          <w:rFonts w:cstheme="minorHAnsi"/>
        </w:rPr>
        <w:t>information</w:t>
      </w:r>
      <w:r w:rsidR="00122079" w:rsidRPr="008E4686">
        <w:rPr>
          <w:rFonts w:cstheme="minorHAnsi"/>
        </w:rPr>
        <w:t xml:space="preserve"> </w:t>
      </w:r>
      <w:r w:rsidR="005E5C76" w:rsidRPr="008E4686">
        <w:rPr>
          <w:rFonts w:cstheme="minorHAnsi"/>
        </w:rPr>
        <w:t xml:space="preserve">beyond that </w:t>
      </w:r>
      <w:r w:rsidR="005E5C76" w:rsidRPr="008E4686">
        <w:rPr>
          <w:rFonts w:cstheme="minorHAnsi"/>
        </w:rPr>
        <w:lastRenderedPageBreak/>
        <w:t>provided by</w:t>
      </w:r>
      <w:r w:rsidR="009014E5" w:rsidRPr="008E4686">
        <w:rPr>
          <w:rFonts w:cstheme="minorHAnsi"/>
        </w:rPr>
        <w:t xml:space="preserve"> the total score </w:t>
      </w:r>
      <w:r w:rsidR="00B462DB" w:rsidRPr="008E4686">
        <w:rPr>
          <w:rFonts w:cstheme="minorHAnsi"/>
        </w:rPr>
        <w:t>(measuring general distress)</w:t>
      </w:r>
      <w:r w:rsidR="005E5C76" w:rsidRPr="008E4686">
        <w:rPr>
          <w:rFonts w:cstheme="minorHAnsi"/>
        </w:rPr>
        <w:t xml:space="preserve">, or alternatively, whether </w:t>
      </w:r>
      <w:r w:rsidRPr="008E4686">
        <w:rPr>
          <w:rFonts w:cstheme="minorHAnsi"/>
        </w:rPr>
        <w:t>using the</w:t>
      </w:r>
      <w:r w:rsidR="005E5C76" w:rsidRPr="008E4686">
        <w:rPr>
          <w:rFonts w:cstheme="minorHAnsi"/>
        </w:rPr>
        <w:t xml:space="preserve"> DASS as a unidimensional measure is more justified in this population.</w:t>
      </w:r>
    </w:p>
    <w:p w14:paraId="5B3320BF" w14:textId="3E836657" w:rsidR="004C39F2" w:rsidRPr="00B424A1" w:rsidRDefault="00C36191" w:rsidP="00357357">
      <w:pPr>
        <w:rPr>
          <w:rFonts w:ascii="Times New Roman" w:hAnsi="Times New Roman" w:cs="Times New Roman"/>
        </w:rPr>
      </w:pPr>
      <w:r>
        <w:rPr>
          <w:rFonts w:cstheme="minorHAnsi"/>
        </w:rPr>
        <w:t>We</w:t>
      </w:r>
      <w:r w:rsidR="00D85353" w:rsidRPr="00B424A1">
        <w:rPr>
          <w:rFonts w:cstheme="minorHAnsi"/>
        </w:rPr>
        <w:t xml:space="preserve"> </w:t>
      </w:r>
      <w:r w:rsidR="00143B1C" w:rsidRPr="00B424A1">
        <w:rPr>
          <w:rFonts w:cstheme="minorHAnsi"/>
        </w:rPr>
        <w:t>formed two hypotheses.</w:t>
      </w:r>
      <w:r w:rsidR="00CC5173" w:rsidRPr="00B424A1">
        <w:rPr>
          <w:rFonts w:cstheme="minorHAnsi"/>
        </w:rPr>
        <w:t xml:space="preserve"> </w:t>
      </w:r>
      <w:r w:rsidR="00143B1C" w:rsidRPr="00B424A1">
        <w:rPr>
          <w:rFonts w:cstheme="minorHAnsi"/>
        </w:rPr>
        <w:t>First,</w:t>
      </w:r>
      <w:r w:rsidR="00F62C72">
        <w:rPr>
          <w:rFonts w:cstheme="minorHAnsi"/>
        </w:rPr>
        <w:t xml:space="preserve"> we hypothesized that</w:t>
      </w:r>
      <w:r w:rsidR="00143B1C" w:rsidRPr="00B424A1">
        <w:rPr>
          <w:rFonts w:cstheme="minorHAnsi"/>
        </w:rPr>
        <w:t xml:space="preserve"> </w:t>
      </w:r>
      <w:r w:rsidR="00D85353" w:rsidRPr="00B424A1">
        <w:rPr>
          <w:rFonts w:cstheme="minorHAnsi"/>
        </w:rPr>
        <w:t>a</w:t>
      </w:r>
      <w:r w:rsidR="001E6D13" w:rsidRPr="00B424A1">
        <w:rPr>
          <w:rFonts w:cstheme="minorHAnsi"/>
        </w:rPr>
        <w:t xml:space="preserve">t </w:t>
      </w:r>
      <w:r w:rsidR="006B1A83" w:rsidRPr="00B424A1">
        <w:rPr>
          <w:rFonts w:cstheme="minorHAnsi"/>
        </w:rPr>
        <w:t xml:space="preserve">least 80% of the </w:t>
      </w:r>
      <w:r w:rsidR="00617B0B" w:rsidRPr="00B424A1">
        <w:rPr>
          <w:rFonts w:cstheme="minorHAnsi"/>
        </w:rPr>
        <w:t>systematic</w:t>
      </w:r>
      <w:r w:rsidR="006B1A83" w:rsidRPr="00B424A1">
        <w:rPr>
          <w:rFonts w:cstheme="minorHAnsi"/>
        </w:rPr>
        <w:t xml:space="preserve"> variance in </w:t>
      </w:r>
      <w:r w:rsidR="00080556" w:rsidRPr="00B424A1">
        <w:rPr>
          <w:rFonts w:cstheme="minorHAnsi"/>
        </w:rPr>
        <w:t>DASS21</w:t>
      </w:r>
      <w:r w:rsidR="005F344D" w:rsidRPr="00B424A1">
        <w:rPr>
          <w:rFonts w:cstheme="minorHAnsi"/>
        </w:rPr>
        <w:t xml:space="preserve"> and </w:t>
      </w:r>
      <w:r w:rsidR="00080556" w:rsidRPr="00B424A1">
        <w:rPr>
          <w:rFonts w:cstheme="minorHAnsi"/>
        </w:rPr>
        <w:t>DASS42</w:t>
      </w:r>
      <w:r w:rsidR="006B1A83" w:rsidRPr="00B424A1">
        <w:rPr>
          <w:rFonts w:cstheme="minorHAnsi"/>
        </w:rPr>
        <w:t xml:space="preserve"> </w:t>
      </w:r>
      <w:r w:rsidR="00617B0B" w:rsidRPr="00B424A1">
        <w:rPr>
          <w:rFonts w:cstheme="minorHAnsi"/>
        </w:rPr>
        <w:t>total scores</w:t>
      </w:r>
      <w:r w:rsidR="006B1A83" w:rsidRPr="00B424A1">
        <w:rPr>
          <w:rFonts w:cstheme="minorHAnsi"/>
        </w:rPr>
        <w:t xml:space="preserve"> w</w:t>
      </w:r>
      <w:r w:rsidR="00617B0B" w:rsidRPr="00B424A1">
        <w:rPr>
          <w:rFonts w:cstheme="minorHAnsi"/>
        </w:rPr>
        <w:t>ould</w:t>
      </w:r>
      <w:r w:rsidR="006B1A83" w:rsidRPr="00B424A1">
        <w:rPr>
          <w:rFonts w:cstheme="minorHAnsi"/>
        </w:rPr>
        <w:t xml:space="preserve"> be explained by </w:t>
      </w:r>
      <w:r w:rsidR="00061499" w:rsidRPr="00B424A1">
        <w:rPr>
          <w:rFonts w:cstheme="minorHAnsi"/>
        </w:rPr>
        <w:t>the</w:t>
      </w:r>
      <w:r w:rsidR="006B1A83" w:rsidRPr="00B424A1">
        <w:rPr>
          <w:rFonts w:cstheme="minorHAnsi"/>
        </w:rPr>
        <w:t xml:space="preserve"> general distress factor</w:t>
      </w:r>
      <w:r w:rsidR="00156C00" w:rsidRPr="00B424A1">
        <w:rPr>
          <w:rFonts w:cstheme="minorHAnsi"/>
        </w:rPr>
        <w:t xml:space="preserve">. </w:t>
      </w:r>
      <w:r w:rsidR="006B1A83" w:rsidRPr="00B424A1">
        <w:rPr>
          <w:rFonts w:cstheme="minorHAnsi"/>
        </w:rPr>
        <w:t xml:space="preserve">After controlling for </w:t>
      </w:r>
      <w:r w:rsidR="00617B0B" w:rsidRPr="00B424A1">
        <w:rPr>
          <w:rFonts w:cstheme="minorHAnsi"/>
        </w:rPr>
        <w:t>the general factor</w:t>
      </w:r>
      <w:r w:rsidR="00CE36D6" w:rsidRPr="00B424A1">
        <w:rPr>
          <w:rFonts w:cstheme="minorHAnsi"/>
        </w:rPr>
        <w:t>,</w:t>
      </w:r>
      <w:r w:rsidR="00617B0B" w:rsidRPr="00B424A1">
        <w:rPr>
          <w:rFonts w:cstheme="minorHAnsi"/>
        </w:rPr>
        <w:t xml:space="preserve"> </w:t>
      </w:r>
      <w:r w:rsidR="00F62C72">
        <w:rPr>
          <w:rFonts w:cstheme="minorHAnsi"/>
        </w:rPr>
        <w:t xml:space="preserve">we expected the </w:t>
      </w:r>
      <w:r w:rsidR="006B1A83" w:rsidRPr="00B424A1">
        <w:rPr>
          <w:rFonts w:cstheme="minorHAnsi"/>
        </w:rPr>
        <w:t xml:space="preserve">specific factors </w:t>
      </w:r>
      <w:r w:rsidR="00F62C72">
        <w:rPr>
          <w:rFonts w:cstheme="minorHAnsi"/>
        </w:rPr>
        <w:t>to have limited</w:t>
      </w:r>
      <w:r w:rsidR="00C91141" w:rsidRPr="00B424A1">
        <w:rPr>
          <w:rFonts w:cstheme="minorHAnsi"/>
        </w:rPr>
        <w:t xml:space="preserve"> reliability</w:t>
      </w:r>
      <w:r w:rsidR="00672436" w:rsidRPr="00B424A1">
        <w:rPr>
          <w:rFonts w:cstheme="minorHAnsi"/>
        </w:rPr>
        <w:t xml:space="preserve"> (&lt;</w:t>
      </w:r>
      <w:r w:rsidR="006B1A83" w:rsidRPr="00B424A1">
        <w:rPr>
          <w:rFonts w:cstheme="minorHAnsi"/>
        </w:rPr>
        <w:t xml:space="preserve"> 50% of </w:t>
      </w:r>
      <w:r w:rsidR="00C91141" w:rsidRPr="00B424A1">
        <w:rPr>
          <w:rFonts w:cstheme="minorHAnsi"/>
        </w:rPr>
        <w:t>residual s</w:t>
      </w:r>
      <w:r w:rsidR="00617B0B" w:rsidRPr="00B424A1">
        <w:rPr>
          <w:rFonts w:cstheme="minorHAnsi"/>
        </w:rPr>
        <w:t>ys</w:t>
      </w:r>
      <w:r w:rsidR="00617B0B" w:rsidRPr="00B424A1">
        <w:rPr>
          <w:rFonts w:ascii="Times New Roman" w:hAnsi="Times New Roman" w:cs="Times New Roman"/>
        </w:rPr>
        <w:t>tematic</w:t>
      </w:r>
      <w:r w:rsidR="006B1A83" w:rsidRPr="00B424A1">
        <w:rPr>
          <w:rFonts w:ascii="Times New Roman" w:hAnsi="Times New Roman" w:cs="Times New Roman"/>
        </w:rPr>
        <w:t xml:space="preserve"> variance in the </w:t>
      </w:r>
      <w:r w:rsidR="00617B0B" w:rsidRPr="00B424A1">
        <w:rPr>
          <w:rFonts w:ascii="Times New Roman" w:hAnsi="Times New Roman" w:cs="Times New Roman"/>
        </w:rPr>
        <w:t>subscale scores</w:t>
      </w:r>
      <w:r w:rsidR="00C91141" w:rsidRPr="00B424A1">
        <w:rPr>
          <w:rFonts w:ascii="Times New Roman" w:hAnsi="Times New Roman" w:cs="Times New Roman"/>
        </w:rPr>
        <w:t xml:space="preserve"> would be explained by the </w:t>
      </w:r>
      <w:r w:rsidR="009B2BD0" w:rsidRPr="00B424A1">
        <w:rPr>
          <w:rFonts w:ascii="Times New Roman" w:hAnsi="Times New Roman" w:cs="Times New Roman"/>
        </w:rPr>
        <w:t>respective</w:t>
      </w:r>
      <w:r w:rsidR="00C91141" w:rsidRPr="00B424A1">
        <w:rPr>
          <w:rFonts w:ascii="Times New Roman" w:hAnsi="Times New Roman" w:cs="Times New Roman"/>
        </w:rPr>
        <w:t xml:space="preserve"> specific factors</w:t>
      </w:r>
      <w:r w:rsidR="00672436" w:rsidRPr="00B424A1">
        <w:rPr>
          <w:rFonts w:ascii="Times New Roman" w:hAnsi="Times New Roman" w:cs="Times New Roman"/>
        </w:rPr>
        <w:t>)</w:t>
      </w:r>
      <w:r w:rsidR="00143B1C" w:rsidRPr="00B424A1">
        <w:rPr>
          <w:rFonts w:ascii="Times New Roman" w:hAnsi="Times New Roman" w:cs="Times New Roman"/>
        </w:rPr>
        <w:t>. Second,</w:t>
      </w:r>
      <w:r w:rsidR="00F379A0" w:rsidRPr="00B424A1">
        <w:rPr>
          <w:rFonts w:ascii="Times New Roman" w:hAnsi="Times New Roman" w:cs="Times New Roman"/>
        </w:rPr>
        <w:t xml:space="preserve"> </w:t>
      </w:r>
      <w:r w:rsidR="00F62C72">
        <w:rPr>
          <w:rFonts w:ascii="Times New Roman" w:hAnsi="Times New Roman" w:cs="Times New Roman"/>
        </w:rPr>
        <w:t xml:space="preserve">we hypothesized that </w:t>
      </w:r>
      <w:r w:rsidR="004E056B" w:rsidRPr="00B424A1">
        <w:rPr>
          <w:rFonts w:ascii="Times New Roman" w:hAnsi="Times New Roman" w:cs="Times New Roman"/>
        </w:rPr>
        <w:t xml:space="preserve">the </w:t>
      </w:r>
      <w:r w:rsidR="00080556" w:rsidRPr="00B424A1">
        <w:rPr>
          <w:rFonts w:ascii="Times New Roman" w:hAnsi="Times New Roman" w:cs="Times New Roman"/>
        </w:rPr>
        <w:t>DASS21</w:t>
      </w:r>
      <w:r w:rsidR="004E056B" w:rsidRPr="00B424A1">
        <w:rPr>
          <w:rFonts w:ascii="Times New Roman" w:hAnsi="Times New Roman" w:cs="Times New Roman"/>
        </w:rPr>
        <w:t xml:space="preserve"> and </w:t>
      </w:r>
      <w:r w:rsidR="00DC4668" w:rsidRPr="00B424A1">
        <w:rPr>
          <w:rFonts w:ascii="Times New Roman" w:hAnsi="Times New Roman" w:cs="Times New Roman"/>
        </w:rPr>
        <w:t xml:space="preserve">DASS42 </w:t>
      </w:r>
      <w:r w:rsidR="002C7CC1">
        <w:rPr>
          <w:rFonts w:ascii="Times New Roman" w:hAnsi="Times New Roman" w:cs="Times New Roman"/>
        </w:rPr>
        <w:t xml:space="preserve">would be essentially unidimensional, </w:t>
      </w:r>
      <w:r w:rsidR="002C7CC1">
        <w:rPr>
          <w:rFonts w:ascii="Times New Roman" w:hAnsi="Times New Roman" w:cs="Times New Roman"/>
          <w:lang w:eastAsia="en-GB"/>
        </w:rPr>
        <w:t>adequately captured by a single factor alone</w:t>
      </w:r>
      <w:r w:rsidR="00DC4668" w:rsidRPr="00B424A1">
        <w:rPr>
          <w:rFonts w:ascii="Times New Roman" w:hAnsi="Times New Roman" w:cs="Times New Roman"/>
        </w:rPr>
        <w:t xml:space="preserve"> </w:t>
      </w:r>
      <w:r w:rsidR="00061499" w:rsidRPr="00B424A1">
        <w:rPr>
          <w:rFonts w:ascii="Times New Roman" w:hAnsi="Times New Roman" w:cs="Times New Roman"/>
        </w:rPr>
        <w:t>(≥</w:t>
      </w:r>
      <w:r w:rsidR="004D358A" w:rsidRPr="00B424A1">
        <w:rPr>
          <w:rFonts w:ascii="Times New Roman" w:hAnsi="Times New Roman" w:cs="Times New Roman"/>
        </w:rPr>
        <w:t xml:space="preserve"> </w:t>
      </w:r>
      <w:r w:rsidR="00DF608C" w:rsidRPr="00B424A1">
        <w:rPr>
          <w:rFonts w:ascii="Times New Roman" w:hAnsi="Times New Roman" w:cs="Times New Roman"/>
        </w:rPr>
        <w:t>70% of the</w:t>
      </w:r>
      <w:r w:rsidR="00CE36D6" w:rsidRPr="00B424A1">
        <w:rPr>
          <w:rFonts w:ascii="Times New Roman" w:hAnsi="Times New Roman" w:cs="Times New Roman"/>
        </w:rPr>
        <w:t xml:space="preserve"> </w:t>
      </w:r>
      <w:r w:rsidR="00061499" w:rsidRPr="00B424A1">
        <w:rPr>
          <w:rFonts w:ascii="Times New Roman" w:hAnsi="Times New Roman" w:cs="Times New Roman"/>
        </w:rPr>
        <w:t>explained</w:t>
      </w:r>
      <w:r w:rsidR="00B80E69" w:rsidRPr="00B424A1">
        <w:rPr>
          <w:rFonts w:ascii="Times New Roman" w:hAnsi="Times New Roman" w:cs="Times New Roman"/>
        </w:rPr>
        <w:t xml:space="preserve"> common variance </w:t>
      </w:r>
      <w:r w:rsidR="004E056B" w:rsidRPr="00B424A1">
        <w:rPr>
          <w:rFonts w:ascii="Times New Roman" w:hAnsi="Times New Roman" w:cs="Times New Roman"/>
        </w:rPr>
        <w:t xml:space="preserve">across </w:t>
      </w:r>
      <w:r w:rsidR="00B80E69" w:rsidRPr="00B424A1">
        <w:rPr>
          <w:rFonts w:ascii="Times New Roman" w:hAnsi="Times New Roman" w:cs="Times New Roman"/>
        </w:rPr>
        <w:t>all items</w:t>
      </w:r>
      <w:r w:rsidR="00B309ED" w:rsidRPr="00B424A1">
        <w:rPr>
          <w:rFonts w:ascii="Times New Roman" w:hAnsi="Times New Roman" w:cs="Times New Roman"/>
        </w:rPr>
        <w:t xml:space="preserve"> </w:t>
      </w:r>
      <w:r w:rsidR="00C27360" w:rsidRPr="00B424A1">
        <w:rPr>
          <w:rFonts w:ascii="Times New Roman" w:hAnsi="Times New Roman" w:cs="Times New Roman"/>
        </w:rPr>
        <w:t xml:space="preserve">and </w:t>
      </w:r>
      <w:r w:rsidR="00061499" w:rsidRPr="00B424A1">
        <w:rPr>
          <w:rFonts w:ascii="Times New Roman" w:hAnsi="Times New Roman" w:cs="Times New Roman"/>
        </w:rPr>
        <w:t>≥</w:t>
      </w:r>
      <w:r w:rsidR="004D358A" w:rsidRPr="00B424A1">
        <w:rPr>
          <w:rFonts w:ascii="Times New Roman" w:hAnsi="Times New Roman" w:cs="Times New Roman"/>
        </w:rPr>
        <w:t xml:space="preserve"> </w:t>
      </w:r>
      <w:r w:rsidR="00C27360" w:rsidRPr="00B424A1">
        <w:rPr>
          <w:rFonts w:ascii="Times New Roman" w:hAnsi="Times New Roman" w:cs="Times New Roman"/>
        </w:rPr>
        <w:t xml:space="preserve">70% of inter-item correlations </w:t>
      </w:r>
      <w:r w:rsidR="008E362F" w:rsidRPr="00B424A1">
        <w:rPr>
          <w:rFonts w:ascii="Times New Roman" w:hAnsi="Times New Roman" w:cs="Times New Roman"/>
        </w:rPr>
        <w:t>would be</w:t>
      </w:r>
      <w:r w:rsidR="00DF608C" w:rsidRPr="00B424A1">
        <w:rPr>
          <w:rFonts w:ascii="Times New Roman" w:hAnsi="Times New Roman" w:cs="Times New Roman"/>
        </w:rPr>
        <w:t xml:space="preserve"> </w:t>
      </w:r>
      <w:r w:rsidR="00061499" w:rsidRPr="00B424A1">
        <w:rPr>
          <w:rFonts w:ascii="Times New Roman" w:hAnsi="Times New Roman" w:cs="Times New Roman"/>
        </w:rPr>
        <w:t>attributable to</w:t>
      </w:r>
      <w:r w:rsidR="00CE36D6" w:rsidRPr="00B424A1">
        <w:rPr>
          <w:rFonts w:ascii="Times New Roman" w:hAnsi="Times New Roman" w:cs="Times New Roman"/>
        </w:rPr>
        <w:t xml:space="preserve"> </w:t>
      </w:r>
      <w:r w:rsidR="00C27360" w:rsidRPr="00B424A1">
        <w:rPr>
          <w:rFonts w:ascii="Times New Roman" w:hAnsi="Times New Roman" w:cs="Times New Roman"/>
        </w:rPr>
        <w:t xml:space="preserve">the </w:t>
      </w:r>
      <w:r w:rsidR="00CE36D6" w:rsidRPr="00B424A1">
        <w:rPr>
          <w:rFonts w:ascii="Times New Roman" w:hAnsi="Times New Roman" w:cs="Times New Roman"/>
        </w:rPr>
        <w:t xml:space="preserve">general </w:t>
      </w:r>
      <w:r w:rsidR="00C27360" w:rsidRPr="00B424A1">
        <w:rPr>
          <w:rFonts w:ascii="Times New Roman" w:hAnsi="Times New Roman" w:cs="Times New Roman"/>
        </w:rPr>
        <w:t>factor</w:t>
      </w:r>
      <w:r w:rsidR="00556782" w:rsidRPr="00B424A1">
        <w:rPr>
          <w:rFonts w:ascii="Times New Roman" w:hAnsi="Times New Roman" w:cs="Times New Roman"/>
        </w:rPr>
        <w:t>)</w:t>
      </w:r>
      <w:r w:rsidR="00C63FAD" w:rsidRPr="00B424A1">
        <w:rPr>
          <w:rFonts w:ascii="Times New Roman" w:hAnsi="Times New Roman" w:cs="Times New Roman"/>
        </w:rPr>
        <w:t>.</w:t>
      </w:r>
      <w:bookmarkStart w:id="9" w:name="_Toc86046776"/>
      <w:bookmarkStart w:id="10" w:name="_Toc86047017"/>
      <w:bookmarkStart w:id="11" w:name="_Toc86047144"/>
      <w:bookmarkStart w:id="12" w:name="_Toc86047200"/>
    </w:p>
    <w:p w14:paraId="1A394870" w14:textId="1B876272" w:rsidR="005718D3" w:rsidRPr="00B424A1" w:rsidRDefault="002A7D7B" w:rsidP="005718D3">
      <w:pPr>
        <w:ind w:firstLine="0"/>
        <w:jc w:val="center"/>
        <w:rPr>
          <w:b/>
          <w:bCs/>
        </w:rPr>
      </w:pPr>
      <w:r w:rsidRPr="00B424A1">
        <w:rPr>
          <w:b/>
          <w:bCs/>
        </w:rPr>
        <w:t>Method</w:t>
      </w:r>
      <w:bookmarkStart w:id="13" w:name="_Toc85182135"/>
      <w:bookmarkStart w:id="14" w:name="_Toc85399178"/>
      <w:bookmarkStart w:id="15" w:name="_Toc85455458"/>
      <w:bookmarkStart w:id="16" w:name="_Toc85455656"/>
      <w:bookmarkStart w:id="17" w:name="_Toc85456046"/>
      <w:bookmarkStart w:id="18" w:name="_Toc85456335"/>
      <w:bookmarkStart w:id="19" w:name="_Toc85456471"/>
      <w:bookmarkStart w:id="20" w:name="_Toc86046777"/>
      <w:bookmarkStart w:id="21" w:name="_Toc86047018"/>
      <w:bookmarkStart w:id="22" w:name="_Toc86047145"/>
      <w:bookmarkStart w:id="23" w:name="_Toc86047201"/>
      <w:bookmarkEnd w:id="9"/>
      <w:bookmarkEnd w:id="10"/>
      <w:bookmarkEnd w:id="11"/>
      <w:bookmarkEnd w:id="12"/>
    </w:p>
    <w:p w14:paraId="5EF719D0" w14:textId="31FF0FB0" w:rsidR="008C1C75" w:rsidRPr="00B424A1" w:rsidRDefault="005136C3" w:rsidP="00EB5EF7">
      <w:pPr>
        <w:ind w:firstLine="0"/>
        <w:rPr>
          <w:b/>
          <w:bCs/>
        </w:rPr>
      </w:pPr>
      <w:r w:rsidRPr="00B424A1">
        <w:rPr>
          <w:b/>
          <w:bCs/>
        </w:rPr>
        <w:t>Participants</w:t>
      </w:r>
      <w:bookmarkEnd w:id="13"/>
      <w:bookmarkEnd w:id="14"/>
      <w:bookmarkEnd w:id="15"/>
      <w:bookmarkEnd w:id="16"/>
      <w:bookmarkEnd w:id="17"/>
      <w:bookmarkEnd w:id="18"/>
      <w:bookmarkEnd w:id="19"/>
      <w:bookmarkEnd w:id="20"/>
      <w:bookmarkEnd w:id="21"/>
      <w:bookmarkEnd w:id="22"/>
      <w:bookmarkEnd w:id="23"/>
    </w:p>
    <w:p w14:paraId="06BB89CC" w14:textId="5A44A12B" w:rsidR="00900864" w:rsidRPr="00996F86" w:rsidRDefault="005F0AA9" w:rsidP="00900864">
      <w:pPr>
        <w:autoSpaceDE w:val="0"/>
        <w:autoSpaceDN w:val="0"/>
        <w:adjustRightInd w:val="0"/>
        <w:rPr>
          <w:rFonts w:ascii="Times New Roman" w:hAnsi="Times New Roman"/>
          <w:lang w:val="en-GB"/>
        </w:rPr>
      </w:pPr>
      <w:r w:rsidRPr="00996F86">
        <w:rPr>
          <w:rFonts w:ascii="Times New Roman" w:hAnsi="Times New Roman"/>
          <w:lang w:val="en-GB"/>
        </w:rPr>
        <w:t xml:space="preserve">We analyzed data from </w:t>
      </w:r>
      <w:r w:rsidR="00617B0B" w:rsidRPr="00996F86">
        <w:rPr>
          <w:rFonts w:ascii="Times New Roman" w:hAnsi="Times New Roman"/>
          <w:lang w:val="en-GB"/>
        </w:rPr>
        <w:t>136 individuals</w:t>
      </w:r>
      <w:r w:rsidRPr="00996F86">
        <w:rPr>
          <w:rFonts w:ascii="Times New Roman" w:hAnsi="Times New Roman"/>
          <w:lang w:val="en-GB"/>
        </w:rPr>
        <w:t xml:space="preserve"> who completed the DASS</w:t>
      </w:r>
      <w:r w:rsidR="00295486" w:rsidRPr="00996F86">
        <w:rPr>
          <w:rFonts w:ascii="Times New Roman" w:hAnsi="Times New Roman"/>
          <w:lang w:val="en-GB"/>
        </w:rPr>
        <w:t>42</w:t>
      </w:r>
      <w:r w:rsidRPr="00996F86">
        <w:rPr>
          <w:rFonts w:ascii="Times New Roman" w:hAnsi="Times New Roman"/>
          <w:lang w:val="en-GB"/>
        </w:rPr>
        <w:t>.</w:t>
      </w:r>
      <w:r w:rsidR="00617B0B" w:rsidRPr="00996F86">
        <w:rPr>
          <w:rFonts w:ascii="Times New Roman" w:hAnsi="Times New Roman"/>
          <w:lang w:val="en-GB"/>
        </w:rPr>
        <w:t xml:space="preserve"> </w:t>
      </w:r>
      <w:r w:rsidRPr="00996F86">
        <w:rPr>
          <w:rFonts w:ascii="Times New Roman" w:hAnsi="Times New Roman"/>
          <w:lang w:val="en-GB"/>
        </w:rPr>
        <w:t>Participants were individuals with</w:t>
      </w:r>
      <w:r w:rsidR="000A57CD" w:rsidRPr="00996F86">
        <w:rPr>
          <w:rFonts w:ascii="Times New Roman" w:hAnsi="Times New Roman"/>
          <w:lang w:val="en-GB"/>
        </w:rPr>
        <w:t xml:space="preserve"> moderate</w:t>
      </w:r>
      <w:r w:rsidR="006A5B17" w:rsidRPr="00996F86">
        <w:rPr>
          <w:rFonts w:ascii="Times New Roman" w:hAnsi="Times New Roman"/>
          <w:lang w:val="en-GB"/>
        </w:rPr>
        <w:t>-</w:t>
      </w:r>
      <w:r w:rsidR="000A57CD" w:rsidRPr="00996F86">
        <w:rPr>
          <w:rFonts w:ascii="Times New Roman" w:hAnsi="Times New Roman"/>
          <w:lang w:val="en-GB"/>
        </w:rPr>
        <w:t xml:space="preserve">severe TBI </w:t>
      </w:r>
      <w:r w:rsidR="00272977" w:rsidRPr="00996F86">
        <w:rPr>
          <w:rFonts w:ascii="Times New Roman" w:hAnsi="Times New Roman"/>
          <w:lang w:val="en-GB"/>
        </w:rPr>
        <w:t xml:space="preserve">recruited </w:t>
      </w:r>
      <w:r w:rsidR="00AB5D4B" w:rsidRPr="00996F86">
        <w:rPr>
          <w:rFonts w:ascii="Times New Roman" w:hAnsi="Times New Roman"/>
          <w:lang w:val="en-GB"/>
        </w:rPr>
        <w:t xml:space="preserve">from consecutive </w:t>
      </w:r>
      <w:r w:rsidR="00900864" w:rsidRPr="00996F86">
        <w:rPr>
          <w:rFonts w:ascii="Times New Roman" w:hAnsi="Times New Roman"/>
          <w:lang w:val="en-GB"/>
        </w:rPr>
        <w:t xml:space="preserve">inpatient </w:t>
      </w:r>
      <w:r w:rsidR="00AB5D4B" w:rsidRPr="00996F86">
        <w:rPr>
          <w:rFonts w:ascii="Times New Roman" w:hAnsi="Times New Roman"/>
          <w:lang w:val="en-GB"/>
        </w:rPr>
        <w:t xml:space="preserve">admissions to </w:t>
      </w:r>
      <w:r w:rsidR="00617B0B" w:rsidRPr="00996F86">
        <w:rPr>
          <w:rFonts w:ascii="Times New Roman" w:hAnsi="Times New Roman"/>
          <w:lang w:val="en-GB"/>
        </w:rPr>
        <w:t>a rehabilitation hospital</w:t>
      </w:r>
      <w:r w:rsidR="00AB5D4B" w:rsidRPr="00996F86">
        <w:rPr>
          <w:rFonts w:ascii="Times New Roman" w:hAnsi="Times New Roman"/>
          <w:lang w:val="en-GB"/>
        </w:rPr>
        <w:t xml:space="preserve"> </w:t>
      </w:r>
      <w:r w:rsidR="00B84FE1" w:rsidRPr="00996F86">
        <w:rPr>
          <w:rFonts w:ascii="Times New Roman" w:hAnsi="Times New Roman"/>
          <w:lang w:val="en-GB"/>
        </w:rPr>
        <w:t>as part of a</w:t>
      </w:r>
      <w:r w:rsidR="00617B0B" w:rsidRPr="00996F86">
        <w:rPr>
          <w:rFonts w:ascii="Times New Roman" w:hAnsi="Times New Roman"/>
          <w:lang w:val="en-GB"/>
        </w:rPr>
        <w:t xml:space="preserve"> larger</w:t>
      </w:r>
      <w:r w:rsidR="002F301D" w:rsidRPr="00996F86">
        <w:rPr>
          <w:rFonts w:ascii="Times New Roman" w:hAnsi="Times New Roman"/>
          <w:lang w:val="en-GB"/>
        </w:rPr>
        <w:t xml:space="preserve"> longitudinal study </w:t>
      </w:r>
      <w:r w:rsidR="00EE71D7" w:rsidRPr="00996F86">
        <w:rPr>
          <w:rFonts w:ascii="Times New Roman" w:hAnsi="Times New Roman"/>
          <w:lang w:val="en-GB"/>
        </w:rPr>
        <w:t xml:space="preserve">investigating </w:t>
      </w:r>
      <w:r w:rsidR="00617B0B" w:rsidRPr="00996F86">
        <w:rPr>
          <w:rFonts w:ascii="Times New Roman" w:hAnsi="Times New Roman"/>
          <w:lang w:val="en-GB"/>
        </w:rPr>
        <w:t xml:space="preserve">psychiatric disorders </w:t>
      </w:r>
      <w:r w:rsidR="00EE71D7" w:rsidRPr="00996F86">
        <w:rPr>
          <w:rFonts w:ascii="Times New Roman" w:hAnsi="Times New Roman"/>
          <w:lang w:val="en-GB"/>
        </w:rPr>
        <w:t>after</w:t>
      </w:r>
      <w:r w:rsidR="00AB5D4B" w:rsidRPr="00996F86">
        <w:rPr>
          <w:rFonts w:ascii="Times New Roman" w:hAnsi="Times New Roman"/>
          <w:lang w:val="en-GB"/>
        </w:rPr>
        <w:t xml:space="preserve"> TBI</w:t>
      </w:r>
      <w:r w:rsidR="006A5B17" w:rsidRPr="00996F86">
        <w:rPr>
          <w:rFonts w:ascii="Times New Roman" w:hAnsi="Times New Roman"/>
          <w:lang w:val="en-GB"/>
        </w:rPr>
        <w:t xml:space="preserve"> </w:t>
      </w:r>
      <w:r w:rsidR="002A0BBF" w:rsidRPr="00B424A1">
        <w:rPr>
          <w:rFonts w:ascii="Times New Roman" w:hAnsi="Times New Roman" w:cs="Times New Roman"/>
          <w:szCs w:val="22"/>
          <w:lang w:val="en-AU" w:eastAsia="zh-CN"/>
        </w:rPr>
        <w:t>(</w:t>
      </w:r>
      <w:r w:rsidR="00E52A6A">
        <w:rPr>
          <w:rFonts w:ascii="Times New Roman" w:hAnsi="Times New Roman" w:cs="Times New Roman"/>
          <w:szCs w:val="22"/>
          <w:lang w:val="en-AU" w:eastAsia="zh-CN"/>
        </w:rPr>
        <w:t xml:space="preserve">Alway et al., 2016; </w:t>
      </w:r>
      <w:r w:rsidR="00E52A6A">
        <w:rPr>
          <w:rFonts w:ascii="Times New Roman" w:hAnsi="Times New Roman"/>
          <w:lang w:val="en-AU"/>
        </w:rPr>
        <w:t>Gould et al., 2011b</w:t>
      </w:r>
      <w:r w:rsidR="002A0BBF" w:rsidRPr="00B424A1">
        <w:rPr>
          <w:rFonts w:ascii="Times New Roman" w:hAnsi="Times New Roman" w:cs="Times New Roman"/>
          <w:szCs w:val="22"/>
          <w:lang w:val="en-AU" w:eastAsia="zh-CN"/>
        </w:rPr>
        <w:t>)</w:t>
      </w:r>
      <w:r w:rsidR="00AB5D4B" w:rsidRPr="00996F86">
        <w:rPr>
          <w:rFonts w:ascii="Times New Roman" w:hAnsi="Times New Roman"/>
          <w:lang w:val="en-GB"/>
        </w:rPr>
        <w:t>.</w:t>
      </w:r>
      <w:r w:rsidR="00900864" w:rsidRPr="00996F86">
        <w:rPr>
          <w:rFonts w:ascii="Times New Roman" w:hAnsi="Times New Roman"/>
          <w:lang w:val="en-GB"/>
        </w:rPr>
        <w:t xml:space="preserve"> </w:t>
      </w:r>
      <w:r w:rsidR="004D358A" w:rsidRPr="00996F86">
        <w:rPr>
          <w:rFonts w:ascii="Times New Roman" w:hAnsi="Times New Roman"/>
          <w:lang w:val="en-GB"/>
        </w:rPr>
        <w:t xml:space="preserve">Participants received rehabilitation as part of a no-fault accident compensation scheme. </w:t>
      </w:r>
      <w:r w:rsidR="00900864" w:rsidRPr="00996F86">
        <w:rPr>
          <w:rFonts w:ascii="Times New Roman" w:hAnsi="Times New Roman"/>
          <w:lang w:val="en-GB"/>
        </w:rPr>
        <w:t>Written informed consent was obtained from participants or their guardian and the study was conducted in compliance with relevant hospital and university ethics committees.</w:t>
      </w:r>
    </w:p>
    <w:p w14:paraId="3166DEC5" w14:textId="76BD88F0" w:rsidR="007D2593" w:rsidRPr="00996F86" w:rsidRDefault="00900864" w:rsidP="00F163A7">
      <w:pPr>
        <w:autoSpaceDE w:val="0"/>
        <w:autoSpaceDN w:val="0"/>
        <w:adjustRightInd w:val="0"/>
        <w:rPr>
          <w:rFonts w:ascii="Times New Roman" w:hAnsi="Times New Roman"/>
          <w:lang w:val="en-GB"/>
        </w:rPr>
      </w:pPr>
      <w:r w:rsidRPr="00996F86">
        <w:rPr>
          <w:rFonts w:ascii="Times New Roman" w:hAnsi="Times New Roman"/>
          <w:lang w:val="en-GB"/>
        </w:rPr>
        <w:t>Participants were Australian residents who had</w:t>
      </w:r>
      <w:r w:rsidR="007D2593" w:rsidRPr="00996F86">
        <w:rPr>
          <w:rFonts w:ascii="Times New Roman" w:hAnsi="Times New Roman"/>
          <w:lang w:val="en-GB"/>
        </w:rPr>
        <w:t xml:space="preserve"> sustained </w:t>
      </w:r>
      <w:r w:rsidR="002F301D" w:rsidRPr="00996F86">
        <w:rPr>
          <w:rFonts w:ascii="Times New Roman" w:hAnsi="Times New Roman"/>
          <w:lang w:val="en-GB"/>
        </w:rPr>
        <w:t xml:space="preserve">a </w:t>
      </w:r>
      <w:r w:rsidR="004D258B" w:rsidRPr="00996F86">
        <w:rPr>
          <w:rFonts w:ascii="Times New Roman" w:hAnsi="Times New Roman"/>
          <w:lang w:val="en-GB"/>
        </w:rPr>
        <w:t>moderate</w:t>
      </w:r>
      <w:r w:rsidR="00617B0B" w:rsidRPr="00996F86">
        <w:rPr>
          <w:rFonts w:ascii="Times New Roman" w:hAnsi="Times New Roman"/>
          <w:lang w:val="en-GB"/>
        </w:rPr>
        <w:t>-</w:t>
      </w:r>
      <w:r w:rsidR="007D2593" w:rsidRPr="00996F86">
        <w:rPr>
          <w:rFonts w:ascii="Times New Roman" w:hAnsi="Times New Roman"/>
          <w:lang w:val="en-GB"/>
        </w:rPr>
        <w:t>severe TBI</w:t>
      </w:r>
      <w:r w:rsidR="00B92D5C" w:rsidRPr="00996F86">
        <w:rPr>
          <w:rFonts w:ascii="Times New Roman" w:hAnsi="Times New Roman"/>
          <w:lang w:val="en-GB"/>
        </w:rPr>
        <w:t xml:space="preserve"> as defined by the </w:t>
      </w:r>
      <w:r w:rsidR="009039F6" w:rsidRPr="00996F86">
        <w:rPr>
          <w:rFonts w:ascii="Times New Roman" w:hAnsi="Times New Roman"/>
          <w:lang w:val="en-GB"/>
        </w:rPr>
        <w:t>M</w:t>
      </w:r>
      <w:r w:rsidR="00B92D5C" w:rsidRPr="00996F86">
        <w:rPr>
          <w:rFonts w:ascii="Times New Roman" w:hAnsi="Times New Roman"/>
          <w:lang w:val="en-GB"/>
        </w:rPr>
        <w:t xml:space="preserve">ayo </w:t>
      </w:r>
      <w:r w:rsidR="006248A6" w:rsidRPr="00996F86">
        <w:rPr>
          <w:rFonts w:ascii="Times New Roman" w:hAnsi="Times New Roman"/>
          <w:lang w:val="en-GB"/>
        </w:rPr>
        <w:t>C</w:t>
      </w:r>
      <w:r w:rsidR="00B92D5C" w:rsidRPr="00996F86">
        <w:rPr>
          <w:rFonts w:ascii="Times New Roman" w:hAnsi="Times New Roman"/>
          <w:lang w:val="en-GB"/>
        </w:rPr>
        <w:t>lassification</w:t>
      </w:r>
      <w:r w:rsidR="002F301D" w:rsidRPr="00996F86">
        <w:rPr>
          <w:rFonts w:ascii="Times New Roman" w:hAnsi="Times New Roman"/>
          <w:lang w:val="en-GB"/>
        </w:rPr>
        <w:t xml:space="preserve"> </w:t>
      </w:r>
      <w:r w:rsidR="006248A6" w:rsidRPr="00996F86">
        <w:rPr>
          <w:rFonts w:ascii="Times New Roman" w:hAnsi="Times New Roman"/>
          <w:lang w:val="en-GB"/>
        </w:rPr>
        <w:t>S</w:t>
      </w:r>
      <w:r w:rsidR="009039F6" w:rsidRPr="00996F86">
        <w:rPr>
          <w:rFonts w:ascii="Times New Roman" w:hAnsi="Times New Roman"/>
          <w:lang w:val="en-GB"/>
        </w:rPr>
        <w:t>ystem</w:t>
      </w:r>
      <w:r w:rsidR="00AB15B3" w:rsidRPr="00996F86">
        <w:rPr>
          <w:rFonts w:ascii="Times New Roman" w:hAnsi="Times New Roman"/>
          <w:lang w:val="en-GB"/>
        </w:rPr>
        <w:t xml:space="preserve">, having at least one of the following: </w:t>
      </w:r>
      <w:r w:rsidR="00C91141" w:rsidRPr="00996F86">
        <w:rPr>
          <w:rFonts w:ascii="Times New Roman" w:hAnsi="Times New Roman"/>
          <w:lang w:val="en-GB"/>
        </w:rPr>
        <w:t xml:space="preserve">worst 24-hour </w:t>
      </w:r>
      <w:r w:rsidR="00617B0B" w:rsidRPr="00996F86">
        <w:rPr>
          <w:rFonts w:ascii="Times New Roman" w:hAnsi="Times New Roman"/>
          <w:lang w:val="en-GB"/>
        </w:rPr>
        <w:t>G</w:t>
      </w:r>
      <w:r w:rsidR="004D358A" w:rsidRPr="00996F86">
        <w:rPr>
          <w:rFonts w:ascii="Times New Roman" w:hAnsi="Times New Roman"/>
          <w:lang w:val="en-GB"/>
        </w:rPr>
        <w:t>lasgow Coma Scale score</w:t>
      </w:r>
      <w:r w:rsidR="00617B0B" w:rsidRPr="00996F86">
        <w:rPr>
          <w:rFonts w:ascii="Times New Roman" w:hAnsi="Times New Roman"/>
          <w:lang w:val="en-GB"/>
        </w:rPr>
        <w:t xml:space="preserve"> </w:t>
      </w:r>
      <w:r w:rsidR="008D5D9C">
        <w:rPr>
          <w:rFonts w:ascii="Times New Roman" w:hAnsi="Times New Roman" w:cs="Times New Roman"/>
          <w:lang w:val="en-GB"/>
        </w:rPr>
        <w:t>≤</w:t>
      </w:r>
      <w:r w:rsidR="00061499" w:rsidRPr="00996F86">
        <w:rPr>
          <w:rFonts w:ascii="Times New Roman" w:hAnsi="Times New Roman"/>
          <w:lang w:val="en-GB"/>
        </w:rPr>
        <w:t xml:space="preserve"> </w:t>
      </w:r>
      <w:r w:rsidR="00617B0B" w:rsidRPr="00996F86">
        <w:rPr>
          <w:rFonts w:ascii="Times New Roman" w:hAnsi="Times New Roman"/>
          <w:lang w:val="en-GB"/>
        </w:rPr>
        <w:t>12,</w:t>
      </w:r>
      <w:r w:rsidR="00AB15B3" w:rsidRPr="00996F86">
        <w:rPr>
          <w:rFonts w:ascii="Times New Roman" w:hAnsi="Times New Roman"/>
          <w:lang w:val="en-GB"/>
        </w:rPr>
        <w:t xml:space="preserve"> </w:t>
      </w:r>
      <w:r w:rsidR="004D358A" w:rsidRPr="00996F86">
        <w:rPr>
          <w:rFonts w:ascii="Times New Roman" w:hAnsi="Times New Roman"/>
          <w:lang w:val="en-GB"/>
        </w:rPr>
        <w:t>post-traumatic amnesia</w:t>
      </w:r>
      <w:r w:rsidR="00617B0B" w:rsidRPr="00996F86">
        <w:rPr>
          <w:rFonts w:ascii="Times New Roman" w:hAnsi="Times New Roman"/>
          <w:lang w:val="en-GB"/>
        </w:rPr>
        <w:t xml:space="preserve"> duration </w:t>
      </w:r>
      <w:r w:rsidR="008D5D9C">
        <w:rPr>
          <w:rFonts w:ascii="Times New Roman" w:hAnsi="Times New Roman" w:cs="Times New Roman"/>
          <w:lang w:val="en-GB"/>
        </w:rPr>
        <w:t>≥</w:t>
      </w:r>
      <w:r w:rsidR="00061499" w:rsidRPr="00996F86">
        <w:rPr>
          <w:rFonts w:ascii="Times New Roman" w:hAnsi="Times New Roman" w:hint="eastAsia"/>
          <w:lang w:val="en-GB"/>
        </w:rPr>
        <w:t xml:space="preserve"> </w:t>
      </w:r>
      <w:r w:rsidR="00617B0B" w:rsidRPr="00996F86">
        <w:rPr>
          <w:rFonts w:ascii="Times New Roman" w:hAnsi="Times New Roman"/>
          <w:lang w:val="en-GB"/>
        </w:rPr>
        <w:t xml:space="preserve">24 hours, </w:t>
      </w:r>
      <w:r w:rsidR="008D5D9C">
        <w:rPr>
          <w:rFonts w:ascii="Times New Roman" w:hAnsi="Times New Roman"/>
          <w:lang w:val="en-GB"/>
        </w:rPr>
        <w:t xml:space="preserve">and </w:t>
      </w:r>
      <w:r w:rsidR="00617B0B" w:rsidRPr="00996F86">
        <w:rPr>
          <w:rFonts w:ascii="Times New Roman" w:hAnsi="Times New Roman"/>
          <w:lang w:val="en-GB"/>
        </w:rPr>
        <w:t xml:space="preserve">intracranial abnormality on </w:t>
      </w:r>
      <w:r w:rsidR="00C91141" w:rsidRPr="00996F86">
        <w:rPr>
          <w:rFonts w:ascii="Times New Roman" w:hAnsi="Times New Roman"/>
          <w:lang w:val="en-GB"/>
        </w:rPr>
        <w:t xml:space="preserve">acute </w:t>
      </w:r>
      <w:r w:rsidR="007F4F5E" w:rsidRPr="00996F86">
        <w:rPr>
          <w:rFonts w:ascii="Times New Roman" w:hAnsi="Times New Roman"/>
          <w:lang w:val="en-GB"/>
        </w:rPr>
        <w:t>computed tomography scan</w:t>
      </w:r>
      <w:r w:rsidR="00AB15B3" w:rsidRPr="00996F86">
        <w:rPr>
          <w:rFonts w:ascii="Times New Roman" w:hAnsi="Times New Roman"/>
          <w:lang w:val="en-GB"/>
        </w:rPr>
        <w:t xml:space="preserve"> (</w:t>
      </w:r>
      <w:r w:rsidR="00092D4C" w:rsidRPr="00996F86">
        <w:rPr>
          <w:rFonts w:ascii="Times New Roman" w:hAnsi="Times New Roman"/>
          <w:lang w:val="en-GB"/>
        </w:rPr>
        <w:t>Malec et al., 2007)</w:t>
      </w:r>
      <w:r w:rsidR="00B92D5C" w:rsidRPr="00996F86">
        <w:rPr>
          <w:rFonts w:ascii="Times New Roman" w:hAnsi="Times New Roman"/>
          <w:lang w:val="en-GB"/>
        </w:rPr>
        <w:t>.</w:t>
      </w:r>
      <w:r w:rsidR="008D5D9C">
        <w:rPr>
          <w:rFonts w:ascii="Times New Roman" w:hAnsi="Times New Roman"/>
          <w:lang w:val="en-GB"/>
        </w:rPr>
        <w:t xml:space="preserve"> </w:t>
      </w:r>
      <w:r w:rsidR="007D2593" w:rsidRPr="00996F86">
        <w:rPr>
          <w:rFonts w:ascii="Times New Roman" w:hAnsi="Times New Roman"/>
          <w:lang w:val="en-GB"/>
        </w:rPr>
        <w:t xml:space="preserve">Participants were required to </w:t>
      </w:r>
      <w:r w:rsidRPr="00996F86">
        <w:rPr>
          <w:rFonts w:ascii="Times New Roman" w:hAnsi="Times New Roman"/>
          <w:lang w:val="en-GB"/>
        </w:rPr>
        <w:t xml:space="preserve">have adequate </w:t>
      </w:r>
      <w:r w:rsidR="007D2593" w:rsidRPr="00996F86">
        <w:rPr>
          <w:rFonts w:ascii="Times New Roman" w:hAnsi="Times New Roman"/>
          <w:lang w:val="en-GB"/>
        </w:rPr>
        <w:t xml:space="preserve">English and cognitive abilities to complete the research interview, as determined by their treating neuropsychologist. Individuals with </w:t>
      </w:r>
      <w:r w:rsidR="007D2593" w:rsidRPr="00996F86">
        <w:rPr>
          <w:rFonts w:ascii="Times New Roman" w:hAnsi="Times New Roman"/>
          <w:lang w:val="en-GB"/>
        </w:rPr>
        <w:lastRenderedPageBreak/>
        <w:t>a</w:t>
      </w:r>
      <w:r w:rsidR="004D7A76" w:rsidRPr="00996F86">
        <w:rPr>
          <w:rFonts w:ascii="Times New Roman" w:hAnsi="Times New Roman"/>
          <w:lang w:val="en-GB"/>
        </w:rPr>
        <w:t>nother</w:t>
      </w:r>
      <w:r w:rsidR="007D2593" w:rsidRPr="00996F86">
        <w:rPr>
          <w:rFonts w:ascii="Times New Roman" w:hAnsi="Times New Roman"/>
          <w:lang w:val="en-GB"/>
        </w:rPr>
        <w:t xml:space="preserve"> neurological </w:t>
      </w:r>
      <w:r w:rsidR="00617B0B" w:rsidRPr="00996F86">
        <w:rPr>
          <w:rFonts w:ascii="Times New Roman" w:hAnsi="Times New Roman"/>
          <w:lang w:val="en-GB"/>
        </w:rPr>
        <w:t>condition</w:t>
      </w:r>
      <w:r w:rsidR="009039F6" w:rsidRPr="00996F86">
        <w:rPr>
          <w:rFonts w:ascii="Times New Roman" w:hAnsi="Times New Roman"/>
          <w:lang w:val="en-GB"/>
        </w:rPr>
        <w:t xml:space="preserve"> </w:t>
      </w:r>
      <w:r w:rsidR="004D7A76" w:rsidRPr="00996F86">
        <w:rPr>
          <w:rFonts w:ascii="Times New Roman" w:hAnsi="Times New Roman"/>
          <w:lang w:val="en-GB"/>
        </w:rPr>
        <w:t>in addition to their</w:t>
      </w:r>
      <w:r w:rsidR="007D2593" w:rsidRPr="00996F86">
        <w:rPr>
          <w:rFonts w:ascii="Times New Roman" w:hAnsi="Times New Roman"/>
          <w:lang w:val="en-GB"/>
        </w:rPr>
        <w:t xml:space="preserve"> TBI </w:t>
      </w:r>
      <w:r w:rsidR="004D7A76" w:rsidRPr="00996F86">
        <w:rPr>
          <w:rFonts w:ascii="Times New Roman" w:hAnsi="Times New Roman"/>
          <w:lang w:val="en-GB"/>
        </w:rPr>
        <w:t>(</w:t>
      </w:r>
      <w:r w:rsidR="00F40FBB" w:rsidRPr="00996F86">
        <w:rPr>
          <w:rFonts w:ascii="Times New Roman" w:hAnsi="Times New Roman"/>
          <w:lang w:val="en-GB"/>
        </w:rPr>
        <w:t>e.g.</w:t>
      </w:r>
      <w:r w:rsidR="00617B0B" w:rsidRPr="00996F86">
        <w:rPr>
          <w:rFonts w:ascii="Times New Roman" w:hAnsi="Times New Roman"/>
          <w:lang w:val="en-GB"/>
        </w:rPr>
        <w:t>,</w:t>
      </w:r>
      <w:r w:rsidR="004D7A76" w:rsidRPr="00996F86">
        <w:rPr>
          <w:rFonts w:ascii="Times New Roman" w:hAnsi="Times New Roman"/>
          <w:lang w:val="en-GB"/>
        </w:rPr>
        <w:t xml:space="preserve"> stroke)</w:t>
      </w:r>
      <w:r w:rsidR="007D2593" w:rsidRPr="00996F86">
        <w:rPr>
          <w:rFonts w:ascii="Times New Roman" w:hAnsi="Times New Roman"/>
          <w:lang w:val="en-GB"/>
        </w:rPr>
        <w:t xml:space="preserve"> were excluded</w:t>
      </w:r>
      <w:r w:rsidR="00AB15B3" w:rsidRPr="00996F86">
        <w:rPr>
          <w:rFonts w:ascii="Times New Roman" w:hAnsi="Times New Roman"/>
          <w:lang w:val="en-GB"/>
        </w:rPr>
        <w:t>, but individuals were not excluded on the basis of any pre-injury psychiatric disorders.</w:t>
      </w:r>
    </w:p>
    <w:p w14:paraId="60DD46DE" w14:textId="7DE7B7BA" w:rsidR="007D2593" w:rsidRPr="00B424A1" w:rsidRDefault="007D2593" w:rsidP="00EB5EF7">
      <w:pPr>
        <w:pStyle w:val="Heading2"/>
        <w:rPr>
          <w:lang w:val="en-GB"/>
        </w:rPr>
      </w:pPr>
      <w:bookmarkStart w:id="24" w:name="_Toc79429090"/>
      <w:bookmarkStart w:id="25" w:name="_Toc85182136"/>
      <w:bookmarkStart w:id="26" w:name="_Toc85399179"/>
      <w:bookmarkStart w:id="27" w:name="_Toc85455459"/>
      <w:bookmarkStart w:id="28" w:name="_Toc85455657"/>
      <w:bookmarkStart w:id="29" w:name="_Toc85456047"/>
      <w:bookmarkStart w:id="30" w:name="_Toc85456336"/>
      <w:bookmarkStart w:id="31" w:name="_Toc85456472"/>
      <w:bookmarkStart w:id="32" w:name="_Toc86046778"/>
      <w:bookmarkStart w:id="33" w:name="_Toc86047019"/>
      <w:bookmarkStart w:id="34" w:name="_Toc86047146"/>
      <w:bookmarkStart w:id="35" w:name="_Toc86047202"/>
      <w:r w:rsidRPr="00B424A1">
        <w:rPr>
          <w:lang w:val="en-GB"/>
        </w:rPr>
        <w:t>Materials</w:t>
      </w:r>
      <w:bookmarkEnd w:id="24"/>
      <w:bookmarkEnd w:id="25"/>
      <w:bookmarkEnd w:id="26"/>
      <w:bookmarkEnd w:id="27"/>
      <w:bookmarkEnd w:id="28"/>
      <w:bookmarkEnd w:id="29"/>
      <w:bookmarkEnd w:id="30"/>
      <w:bookmarkEnd w:id="31"/>
      <w:bookmarkEnd w:id="32"/>
      <w:bookmarkEnd w:id="33"/>
      <w:bookmarkEnd w:id="34"/>
      <w:bookmarkEnd w:id="35"/>
    </w:p>
    <w:p w14:paraId="7A172E0D" w14:textId="4784B139" w:rsidR="007D2593" w:rsidRPr="00996F86" w:rsidRDefault="007D2593" w:rsidP="0087635F">
      <w:pPr>
        <w:autoSpaceDE w:val="0"/>
        <w:autoSpaceDN w:val="0"/>
        <w:adjustRightInd w:val="0"/>
        <w:rPr>
          <w:rFonts w:ascii="Times New Roman" w:hAnsi="Times New Roman"/>
          <w:lang w:val="en-GB"/>
        </w:rPr>
      </w:pPr>
      <w:r w:rsidRPr="00996F86">
        <w:rPr>
          <w:rFonts w:ascii="Times New Roman" w:hAnsi="Times New Roman"/>
          <w:lang w:val="en-GB"/>
        </w:rPr>
        <w:t xml:space="preserve">The </w:t>
      </w:r>
      <w:r w:rsidR="00080556" w:rsidRPr="00996F86">
        <w:rPr>
          <w:rFonts w:ascii="Times New Roman" w:hAnsi="Times New Roman"/>
          <w:lang w:val="en-GB"/>
        </w:rPr>
        <w:t>DASS42</w:t>
      </w:r>
      <w:r w:rsidRPr="00996F86">
        <w:rPr>
          <w:rFonts w:ascii="Times New Roman" w:hAnsi="Times New Roman"/>
          <w:lang w:val="en-GB"/>
        </w:rPr>
        <w:t xml:space="preserve"> is a self-report screening tool comprising three 14-item scales measuring the frequency of symptoms of depression, anxiety</w:t>
      </w:r>
      <w:r w:rsidR="0000776A" w:rsidRPr="00996F86">
        <w:rPr>
          <w:rFonts w:ascii="Times New Roman" w:hAnsi="Times New Roman"/>
          <w:lang w:val="en-GB"/>
        </w:rPr>
        <w:t>,</w:t>
      </w:r>
      <w:r w:rsidRPr="00996F86">
        <w:rPr>
          <w:rFonts w:ascii="Times New Roman" w:hAnsi="Times New Roman"/>
          <w:lang w:val="en-GB"/>
        </w:rPr>
        <w:t xml:space="preserve"> and stress experienced over the past week (Lovibond &amp; Lovibond, 1995</w:t>
      </w:r>
      <w:r w:rsidR="002B1506" w:rsidRPr="00996F86">
        <w:rPr>
          <w:rFonts w:ascii="Times New Roman" w:hAnsi="Times New Roman"/>
          <w:lang w:val="en-GB"/>
        </w:rPr>
        <w:t>a</w:t>
      </w:r>
      <w:r w:rsidRPr="00996F86">
        <w:rPr>
          <w:rFonts w:ascii="Times New Roman" w:hAnsi="Times New Roman"/>
          <w:lang w:val="en-GB"/>
        </w:rPr>
        <w:t>).</w:t>
      </w:r>
      <w:r w:rsidR="00E946A5" w:rsidRPr="00996F86">
        <w:rPr>
          <w:rFonts w:ascii="Times New Roman" w:hAnsi="Times New Roman"/>
          <w:i/>
        </w:rPr>
        <w:t xml:space="preserve"> </w:t>
      </w:r>
      <w:r w:rsidR="00323E66" w:rsidRPr="00996F86">
        <w:rPr>
          <w:rFonts w:ascii="Times New Roman" w:hAnsi="Times New Roman"/>
          <w:lang w:val="en-GB"/>
        </w:rPr>
        <w:t xml:space="preserve">Responses on the DASS are measured on a 4-point Likert scale </w:t>
      </w:r>
      <w:r w:rsidR="00323E66" w:rsidRPr="00996F86">
        <w:rPr>
          <w:rFonts w:ascii="Times New Roman" w:hAnsi="Times New Roman"/>
        </w:rPr>
        <w:t xml:space="preserve">(0 = </w:t>
      </w:r>
      <w:r w:rsidR="00323E66" w:rsidRPr="00996F86">
        <w:rPr>
          <w:rFonts w:ascii="Times New Roman" w:hAnsi="Times New Roman"/>
          <w:i/>
        </w:rPr>
        <w:t>did not apply to me at all</w:t>
      </w:r>
      <w:r w:rsidR="00323E66" w:rsidRPr="00996F86">
        <w:rPr>
          <w:rFonts w:ascii="Times New Roman" w:hAnsi="Times New Roman"/>
        </w:rPr>
        <w:t xml:space="preserve">; 3 = </w:t>
      </w:r>
      <w:r w:rsidR="00323E66" w:rsidRPr="00996F86">
        <w:rPr>
          <w:rFonts w:ascii="Times New Roman" w:hAnsi="Times New Roman"/>
          <w:i/>
        </w:rPr>
        <w:t xml:space="preserve">applied to me very much, or most of the time). </w:t>
      </w:r>
      <w:r w:rsidR="00323E66" w:rsidRPr="00996F86">
        <w:rPr>
          <w:rFonts w:ascii="Times New Roman" w:hAnsi="Times New Roman"/>
        </w:rPr>
        <w:t>Scale scores are obtained by summing together item responses</w:t>
      </w:r>
      <w:r w:rsidR="00617B0B" w:rsidRPr="00996F86">
        <w:rPr>
          <w:rFonts w:ascii="Times New Roman" w:hAnsi="Times New Roman"/>
        </w:rPr>
        <w:t xml:space="preserve"> pertaining to that scale</w:t>
      </w:r>
      <w:r w:rsidR="00323E66" w:rsidRPr="00996F86">
        <w:rPr>
          <w:rFonts w:ascii="Times New Roman" w:hAnsi="Times New Roman"/>
        </w:rPr>
        <w:t>.</w:t>
      </w:r>
      <w:r w:rsidRPr="00996F86">
        <w:rPr>
          <w:rFonts w:ascii="Times New Roman" w:hAnsi="Times New Roman"/>
          <w:lang w:val="en-GB"/>
        </w:rPr>
        <w:t xml:space="preserve"> </w:t>
      </w:r>
      <w:r w:rsidR="00697305" w:rsidRPr="00B424A1">
        <w:t>H</w:t>
      </w:r>
      <w:r w:rsidR="009B70DE" w:rsidRPr="00B424A1">
        <w:t>igher scores indicate higher levels of depression, anxiety</w:t>
      </w:r>
      <w:r w:rsidR="0000776A" w:rsidRPr="00B424A1">
        <w:t>,</w:t>
      </w:r>
      <w:r w:rsidR="009B70DE" w:rsidRPr="00B424A1">
        <w:t xml:space="preserve"> or stress</w:t>
      </w:r>
      <w:r w:rsidR="0030497C">
        <w:t xml:space="preserve"> symptoms</w:t>
      </w:r>
      <w:r w:rsidR="004B1F91" w:rsidRPr="00B424A1">
        <w:rPr>
          <w:rFonts w:ascii="Times New Roman" w:hAnsi="Times New Roman" w:cs="Times New Roman"/>
          <w:lang w:val="en-GB"/>
        </w:rPr>
        <w:t>.</w:t>
      </w:r>
    </w:p>
    <w:p w14:paraId="3CA51B1F" w14:textId="79B2E9A7" w:rsidR="009F7B96" w:rsidRPr="00996F86" w:rsidRDefault="007D2593" w:rsidP="009F7B96">
      <w:pPr>
        <w:autoSpaceDE w:val="0"/>
        <w:autoSpaceDN w:val="0"/>
        <w:adjustRightInd w:val="0"/>
        <w:rPr>
          <w:rFonts w:ascii="Times New Roman" w:hAnsi="Times New Roman"/>
          <w:lang w:val="en-GB"/>
        </w:rPr>
      </w:pPr>
      <w:r w:rsidRPr="00996F86">
        <w:rPr>
          <w:rFonts w:ascii="Times New Roman" w:hAnsi="Times New Roman"/>
          <w:lang w:val="en-GB"/>
        </w:rPr>
        <w:t xml:space="preserve">The </w:t>
      </w:r>
      <w:r w:rsidR="00080556" w:rsidRPr="00996F86">
        <w:rPr>
          <w:rFonts w:ascii="Times New Roman" w:hAnsi="Times New Roman"/>
          <w:lang w:val="en-GB"/>
        </w:rPr>
        <w:t>DASS21</w:t>
      </w:r>
      <w:r w:rsidRPr="00996F86">
        <w:rPr>
          <w:rFonts w:ascii="Times New Roman" w:hAnsi="Times New Roman"/>
          <w:lang w:val="en-GB"/>
        </w:rPr>
        <w:t xml:space="preserve"> is a short-form version </w:t>
      </w:r>
      <w:r w:rsidR="00C73EEE" w:rsidRPr="00996F86">
        <w:rPr>
          <w:rFonts w:ascii="Times New Roman" w:hAnsi="Times New Roman"/>
          <w:lang w:val="en-GB"/>
        </w:rPr>
        <w:t xml:space="preserve">of the original </w:t>
      </w:r>
      <w:r w:rsidR="00080556" w:rsidRPr="00996F86">
        <w:rPr>
          <w:rFonts w:ascii="Times New Roman" w:hAnsi="Times New Roman"/>
          <w:lang w:val="en-GB"/>
        </w:rPr>
        <w:t>DASS42</w:t>
      </w:r>
      <w:r w:rsidR="00C73EEE" w:rsidRPr="00996F86">
        <w:rPr>
          <w:rFonts w:ascii="Times New Roman" w:hAnsi="Times New Roman"/>
          <w:lang w:val="en-GB"/>
        </w:rPr>
        <w:t xml:space="preserve">, comprising three 7-item scales </w:t>
      </w:r>
      <w:r w:rsidR="00B0011A" w:rsidRPr="00996F86">
        <w:rPr>
          <w:rFonts w:ascii="Times New Roman" w:hAnsi="Times New Roman"/>
          <w:lang w:val="en-GB"/>
        </w:rPr>
        <w:t>(</w:t>
      </w:r>
      <w:r w:rsidR="00871E6B" w:rsidRPr="00996F86">
        <w:rPr>
          <w:rFonts w:ascii="Times New Roman" w:hAnsi="Times New Roman"/>
          <w:lang w:val="en-GB"/>
        </w:rPr>
        <w:t>Lovibond &amp; Lovibond, 1995</w:t>
      </w:r>
      <w:r w:rsidR="002B1506" w:rsidRPr="00996F86">
        <w:rPr>
          <w:rFonts w:ascii="Times New Roman" w:hAnsi="Times New Roman"/>
          <w:lang w:val="en-GB"/>
        </w:rPr>
        <w:t>a</w:t>
      </w:r>
      <w:r w:rsidR="00B0011A" w:rsidRPr="00996F86">
        <w:rPr>
          <w:rFonts w:ascii="Times New Roman" w:hAnsi="Times New Roman"/>
          <w:lang w:val="en-GB"/>
        </w:rPr>
        <w:t>)</w:t>
      </w:r>
      <w:r w:rsidRPr="00996F86">
        <w:rPr>
          <w:rFonts w:ascii="Times New Roman" w:hAnsi="Times New Roman"/>
          <w:lang w:val="en-GB"/>
        </w:rPr>
        <w:t xml:space="preserve">. </w:t>
      </w:r>
      <w:r w:rsidR="002A0BBF" w:rsidRPr="00996F86">
        <w:rPr>
          <w:rFonts w:ascii="Times New Roman" w:hAnsi="Times New Roman"/>
          <w:lang w:val="en-GB"/>
        </w:rPr>
        <w:t xml:space="preserve">It is standard practice to double DASS21 </w:t>
      </w:r>
      <w:r w:rsidR="002A0BBF" w:rsidRPr="00996F86">
        <w:rPr>
          <w:rFonts w:ascii="Times New Roman" w:hAnsi="Times New Roman"/>
        </w:rPr>
        <w:t>s</w:t>
      </w:r>
      <w:r w:rsidR="00CE73D0" w:rsidRPr="00996F86">
        <w:rPr>
          <w:rFonts w:ascii="Times New Roman" w:hAnsi="Times New Roman"/>
        </w:rPr>
        <w:t>cale</w:t>
      </w:r>
      <w:r w:rsidR="00A03578" w:rsidRPr="00996F86">
        <w:rPr>
          <w:rFonts w:ascii="Times New Roman" w:hAnsi="Times New Roman"/>
        </w:rPr>
        <w:t xml:space="preserve"> sum-</w:t>
      </w:r>
      <w:r w:rsidR="00CE73D0" w:rsidRPr="00996F86">
        <w:rPr>
          <w:rFonts w:ascii="Times New Roman" w:hAnsi="Times New Roman"/>
        </w:rPr>
        <w:t xml:space="preserve">scores </w:t>
      </w:r>
      <w:r w:rsidR="00A03578" w:rsidRPr="00996F86">
        <w:rPr>
          <w:rFonts w:ascii="Times New Roman" w:hAnsi="Times New Roman"/>
        </w:rPr>
        <w:t>to allow comparison with</w:t>
      </w:r>
      <w:r w:rsidR="00C03D51" w:rsidRPr="00996F86">
        <w:rPr>
          <w:rFonts w:ascii="Times New Roman" w:hAnsi="Times New Roman"/>
          <w:lang w:val="en-GB"/>
        </w:rPr>
        <w:t xml:space="preserve"> </w:t>
      </w:r>
      <w:r w:rsidR="00A03578" w:rsidRPr="00996F86">
        <w:rPr>
          <w:rFonts w:ascii="Times New Roman" w:hAnsi="Times New Roman"/>
          <w:lang w:val="en-GB"/>
        </w:rPr>
        <w:t xml:space="preserve">the </w:t>
      </w:r>
      <w:r w:rsidR="00080556" w:rsidRPr="00996F86">
        <w:rPr>
          <w:rFonts w:ascii="Times New Roman" w:hAnsi="Times New Roman"/>
          <w:lang w:val="en-GB"/>
        </w:rPr>
        <w:t>DASS42</w:t>
      </w:r>
      <w:r w:rsidR="00C506CA" w:rsidRPr="00996F86">
        <w:rPr>
          <w:rFonts w:ascii="Times New Roman" w:hAnsi="Times New Roman"/>
          <w:lang w:val="en-GB"/>
        </w:rPr>
        <w:t xml:space="preserve"> (Lovibond &amp; Lovibond 1995a)</w:t>
      </w:r>
      <w:r w:rsidR="002A0BBF" w:rsidRPr="00996F86">
        <w:rPr>
          <w:rFonts w:ascii="Times New Roman" w:hAnsi="Times New Roman"/>
          <w:lang w:val="en-GB"/>
        </w:rPr>
        <w:t xml:space="preserve">, retaining the same </w:t>
      </w:r>
      <w:r w:rsidR="00880717">
        <w:rPr>
          <w:rFonts w:ascii="Times New Roman" w:hAnsi="Times New Roman"/>
          <w:lang w:val="en-GB"/>
        </w:rPr>
        <w:t>severity</w:t>
      </w:r>
      <w:r w:rsidR="002A0BBF" w:rsidRPr="00996F86">
        <w:rPr>
          <w:rFonts w:ascii="Times New Roman" w:hAnsi="Times New Roman"/>
          <w:lang w:val="en-GB"/>
        </w:rPr>
        <w:t xml:space="preserve"> cut-offs across the versions</w:t>
      </w:r>
      <w:r w:rsidR="00C03D51" w:rsidRPr="00996F86">
        <w:rPr>
          <w:rFonts w:ascii="Times New Roman" w:hAnsi="Times New Roman"/>
          <w:lang w:val="en-GB"/>
        </w:rPr>
        <w:t xml:space="preserve">. </w:t>
      </w:r>
      <w:r w:rsidR="00E70360" w:rsidRPr="00996F86">
        <w:rPr>
          <w:rFonts w:ascii="Times New Roman" w:hAnsi="Times New Roman"/>
          <w:lang w:val="en-GB"/>
        </w:rPr>
        <w:t xml:space="preserve">All </w:t>
      </w:r>
      <w:r w:rsidR="00080556" w:rsidRPr="00996F86">
        <w:rPr>
          <w:rFonts w:ascii="Times New Roman" w:hAnsi="Times New Roman"/>
          <w:lang w:val="en-GB"/>
        </w:rPr>
        <w:t>DASS21</w:t>
      </w:r>
      <w:r w:rsidR="00E70360" w:rsidRPr="00996F86">
        <w:rPr>
          <w:rFonts w:ascii="Times New Roman" w:hAnsi="Times New Roman"/>
          <w:lang w:val="en-GB"/>
        </w:rPr>
        <w:t xml:space="preserve"> items are part of the </w:t>
      </w:r>
      <w:r w:rsidR="00080556" w:rsidRPr="00996F86">
        <w:rPr>
          <w:rFonts w:ascii="Times New Roman" w:hAnsi="Times New Roman"/>
          <w:lang w:val="en-GB"/>
        </w:rPr>
        <w:t>DASS42</w:t>
      </w:r>
      <w:r w:rsidR="00E70360" w:rsidRPr="00996F86">
        <w:rPr>
          <w:rFonts w:ascii="Times New Roman" w:hAnsi="Times New Roman"/>
          <w:lang w:val="en-GB"/>
        </w:rPr>
        <w:t>, so scores c</w:t>
      </w:r>
      <w:r w:rsidR="009B2BD0" w:rsidRPr="00996F86">
        <w:rPr>
          <w:rFonts w:ascii="Times New Roman" w:hAnsi="Times New Roman"/>
          <w:lang w:val="en-GB"/>
        </w:rPr>
        <w:t xml:space="preserve">an </w:t>
      </w:r>
      <w:r w:rsidR="00E70360" w:rsidRPr="00996F86">
        <w:rPr>
          <w:rFonts w:ascii="Times New Roman" w:hAnsi="Times New Roman"/>
          <w:lang w:val="en-GB"/>
        </w:rPr>
        <w:t>be derived from the long version.</w:t>
      </w:r>
    </w:p>
    <w:p w14:paraId="7C5A90E1" w14:textId="35163DDC" w:rsidR="007D2593" w:rsidRPr="00996F86" w:rsidRDefault="007D2593" w:rsidP="00EB5EF7">
      <w:pPr>
        <w:pStyle w:val="Heading2"/>
        <w:rPr>
          <w:lang w:val="en-GB"/>
        </w:rPr>
      </w:pPr>
      <w:bookmarkStart w:id="36" w:name="_Toc79429091"/>
      <w:bookmarkStart w:id="37" w:name="_Toc85182140"/>
      <w:bookmarkStart w:id="38" w:name="_Toc85399183"/>
      <w:bookmarkStart w:id="39" w:name="_Toc85455463"/>
      <w:bookmarkStart w:id="40" w:name="_Toc85455658"/>
      <w:bookmarkStart w:id="41" w:name="_Toc85456051"/>
      <w:bookmarkStart w:id="42" w:name="_Toc85456340"/>
      <w:bookmarkStart w:id="43" w:name="_Toc85456476"/>
      <w:bookmarkStart w:id="44" w:name="_Toc86046782"/>
      <w:bookmarkStart w:id="45" w:name="_Toc86047023"/>
      <w:bookmarkStart w:id="46" w:name="_Toc86047150"/>
      <w:bookmarkStart w:id="47" w:name="_Toc86047206"/>
      <w:r w:rsidRPr="00B424A1">
        <w:rPr>
          <w:lang w:val="en-GB"/>
        </w:rPr>
        <w:t>Procedure</w:t>
      </w:r>
      <w:bookmarkEnd w:id="36"/>
      <w:bookmarkEnd w:id="37"/>
      <w:bookmarkEnd w:id="38"/>
      <w:bookmarkEnd w:id="39"/>
      <w:bookmarkEnd w:id="40"/>
      <w:bookmarkEnd w:id="41"/>
      <w:bookmarkEnd w:id="42"/>
      <w:bookmarkEnd w:id="43"/>
      <w:bookmarkEnd w:id="44"/>
      <w:bookmarkEnd w:id="45"/>
      <w:bookmarkEnd w:id="46"/>
      <w:bookmarkEnd w:id="47"/>
    </w:p>
    <w:p w14:paraId="3974F642" w14:textId="6AFDA6A2" w:rsidR="007D2593" w:rsidRPr="00996F86" w:rsidRDefault="007D2593" w:rsidP="005A6FDE">
      <w:pPr>
        <w:autoSpaceDE w:val="0"/>
        <w:autoSpaceDN w:val="0"/>
        <w:adjustRightInd w:val="0"/>
        <w:rPr>
          <w:rFonts w:ascii="Times New Roman" w:hAnsi="Times New Roman"/>
          <w:lang w:val="en-GB"/>
        </w:rPr>
      </w:pPr>
      <w:r w:rsidRPr="00B424A1">
        <w:rPr>
          <w:rFonts w:ascii="Times New Roman" w:hAnsi="Times New Roman" w:cs="Times New Roman"/>
        </w:rPr>
        <w:t xml:space="preserve">Medical files were accessed to obtain demographic and injury-related data. </w:t>
      </w:r>
      <w:r w:rsidR="00772AD5" w:rsidRPr="00B424A1">
        <w:rPr>
          <w:rFonts w:ascii="Times New Roman" w:hAnsi="Times New Roman" w:cs="Times New Roman"/>
          <w:lang w:val="en-GB"/>
        </w:rPr>
        <w:t>T</w:t>
      </w:r>
      <w:r w:rsidRPr="00B424A1">
        <w:rPr>
          <w:rFonts w:ascii="Times New Roman" w:hAnsi="Times New Roman" w:cs="Times New Roman"/>
          <w:lang w:val="en-GB"/>
        </w:rPr>
        <w:t>he</w:t>
      </w:r>
      <w:r w:rsidRPr="00996F86">
        <w:rPr>
          <w:rFonts w:ascii="Times New Roman" w:hAnsi="Times New Roman"/>
          <w:lang w:val="en-GB"/>
        </w:rPr>
        <w:t xml:space="preserve"> </w:t>
      </w:r>
      <w:r w:rsidR="00080556" w:rsidRPr="00996F86">
        <w:rPr>
          <w:rFonts w:ascii="Times New Roman" w:hAnsi="Times New Roman"/>
          <w:lang w:val="en-GB"/>
        </w:rPr>
        <w:t>DASS42</w:t>
      </w:r>
      <w:r w:rsidR="007F4F5E" w:rsidRPr="00996F86">
        <w:rPr>
          <w:rFonts w:ascii="Times New Roman" w:hAnsi="Times New Roman"/>
          <w:lang w:val="en-GB"/>
        </w:rPr>
        <w:t xml:space="preserve"> (allowing extraction of </w:t>
      </w:r>
      <w:r w:rsidR="00080556" w:rsidRPr="00996F86">
        <w:rPr>
          <w:rFonts w:ascii="Times New Roman" w:hAnsi="Times New Roman"/>
          <w:lang w:val="en-GB"/>
        </w:rPr>
        <w:t>DASS21</w:t>
      </w:r>
      <w:r w:rsidR="007F4F5E" w:rsidRPr="00996F86">
        <w:rPr>
          <w:rFonts w:ascii="Times New Roman" w:hAnsi="Times New Roman"/>
          <w:lang w:val="en-GB"/>
        </w:rPr>
        <w:t xml:space="preserve"> scores)</w:t>
      </w:r>
      <w:r w:rsidRPr="00996F86">
        <w:rPr>
          <w:rFonts w:ascii="Times New Roman" w:hAnsi="Times New Roman"/>
          <w:lang w:val="en-GB"/>
        </w:rPr>
        <w:t xml:space="preserve"> w</w:t>
      </w:r>
      <w:r w:rsidR="00272977" w:rsidRPr="00996F86">
        <w:rPr>
          <w:rFonts w:ascii="Times New Roman" w:hAnsi="Times New Roman"/>
          <w:lang w:val="en-GB"/>
        </w:rPr>
        <w:t xml:space="preserve">as </w:t>
      </w:r>
      <w:r w:rsidRPr="00996F86">
        <w:rPr>
          <w:rFonts w:ascii="Times New Roman" w:hAnsi="Times New Roman"/>
          <w:lang w:val="en-GB"/>
        </w:rPr>
        <w:t xml:space="preserve">administered </w:t>
      </w:r>
      <w:r w:rsidR="00772AD5" w:rsidRPr="00B424A1">
        <w:rPr>
          <w:rFonts w:ascii="Times New Roman" w:hAnsi="Times New Roman" w:cs="Times New Roman"/>
          <w:lang w:val="en-GB"/>
        </w:rPr>
        <w:t>within</w:t>
      </w:r>
      <w:r w:rsidR="00772AD5" w:rsidRPr="00996F86">
        <w:rPr>
          <w:rFonts w:ascii="Times New Roman" w:hAnsi="Times New Roman"/>
          <w:lang w:val="en-GB"/>
        </w:rPr>
        <w:t xml:space="preserve"> a </w:t>
      </w:r>
      <w:r w:rsidR="00772AD5" w:rsidRPr="00B424A1">
        <w:rPr>
          <w:rFonts w:ascii="Times New Roman" w:hAnsi="Times New Roman" w:cs="Times New Roman"/>
          <w:lang w:val="en-GB"/>
        </w:rPr>
        <w:t>neuropsychological test battery</w:t>
      </w:r>
      <w:r w:rsidR="008D5D9C">
        <w:rPr>
          <w:rFonts w:ascii="Times New Roman" w:hAnsi="Times New Roman" w:cs="Times New Roman"/>
          <w:lang w:val="en-GB"/>
        </w:rPr>
        <w:t xml:space="preserve"> as part of a broader </w:t>
      </w:r>
      <w:r w:rsidR="001802A8">
        <w:rPr>
          <w:rFonts w:ascii="Times New Roman" w:hAnsi="Times New Roman" w:cs="Times New Roman"/>
          <w:lang w:val="en-GB"/>
        </w:rPr>
        <w:t xml:space="preserve">psychiatric </w:t>
      </w:r>
      <w:r w:rsidR="008D5D9C">
        <w:rPr>
          <w:rFonts w:ascii="Times New Roman" w:hAnsi="Times New Roman" w:cs="Times New Roman"/>
          <w:lang w:val="en-GB"/>
        </w:rPr>
        <w:t>study (</w:t>
      </w:r>
      <w:r w:rsidR="00E52A6A">
        <w:rPr>
          <w:rFonts w:ascii="Times New Roman" w:hAnsi="Times New Roman" w:cs="Times New Roman"/>
          <w:lang w:val="en-GB"/>
        </w:rPr>
        <w:t>Gould et al., 2014</w:t>
      </w:r>
      <w:r w:rsidR="008D5D9C">
        <w:rPr>
          <w:rFonts w:ascii="Times New Roman" w:hAnsi="Times New Roman" w:cs="Times New Roman"/>
          <w:lang w:val="en-GB"/>
        </w:rPr>
        <w:t>)</w:t>
      </w:r>
      <w:r w:rsidR="00617CD1" w:rsidRPr="00B424A1">
        <w:rPr>
          <w:rFonts w:ascii="Times New Roman" w:hAnsi="Times New Roman" w:cs="Times New Roman"/>
          <w:lang w:val="en-GB"/>
        </w:rPr>
        <w:t xml:space="preserve">. </w:t>
      </w:r>
      <w:r w:rsidR="008D5D9C" w:rsidRPr="41C204D4">
        <w:rPr>
          <w:rFonts w:ascii="Times New Roman" w:hAnsi="Times New Roman" w:cs="Times New Roman"/>
          <w:color w:val="000000" w:themeColor="text2"/>
          <w:lang w:val="en-GB"/>
        </w:rPr>
        <w:t>Research interviews were completed</w:t>
      </w:r>
      <w:r w:rsidR="008D5D9C">
        <w:rPr>
          <w:rFonts w:ascii="Times New Roman" w:hAnsi="Times New Roman" w:cs="Times New Roman"/>
          <w:color w:val="000000" w:themeColor="text2"/>
          <w:lang w:val="en-GB"/>
        </w:rPr>
        <w:t xml:space="preserve"> face-to-face</w:t>
      </w:r>
      <w:r w:rsidR="008D5D9C" w:rsidRPr="41C204D4">
        <w:rPr>
          <w:rFonts w:ascii="Times New Roman" w:hAnsi="Times New Roman" w:cs="Times New Roman"/>
          <w:color w:val="000000" w:themeColor="text2"/>
          <w:lang w:val="en-GB"/>
        </w:rPr>
        <w:t xml:space="preserve"> at a private, quiet location</w:t>
      </w:r>
      <w:r w:rsidR="008D5D9C">
        <w:rPr>
          <w:rFonts w:ascii="Times New Roman" w:hAnsi="Times New Roman" w:cs="Times New Roman"/>
          <w:color w:val="000000" w:themeColor="text2"/>
          <w:lang w:val="en-GB"/>
        </w:rPr>
        <w:t>.</w:t>
      </w:r>
    </w:p>
    <w:p w14:paraId="571818D1" w14:textId="52C3CEEE" w:rsidR="007D2593" w:rsidRPr="00B424A1" w:rsidRDefault="007D2593" w:rsidP="00EB5EF7">
      <w:pPr>
        <w:pStyle w:val="Heading2"/>
      </w:pPr>
      <w:bookmarkStart w:id="48" w:name="_Toc79429092"/>
      <w:bookmarkStart w:id="49" w:name="_Toc85182141"/>
      <w:bookmarkStart w:id="50" w:name="_Toc85399184"/>
      <w:bookmarkStart w:id="51" w:name="_Toc85455464"/>
      <w:bookmarkStart w:id="52" w:name="_Toc85455659"/>
      <w:bookmarkStart w:id="53" w:name="_Toc85456052"/>
      <w:bookmarkStart w:id="54" w:name="_Toc85456341"/>
      <w:bookmarkStart w:id="55" w:name="_Toc85456477"/>
      <w:bookmarkStart w:id="56" w:name="_Toc86046783"/>
      <w:bookmarkStart w:id="57" w:name="_Toc86047024"/>
      <w:bookmarkStart w:id="58" w:name="_Toc86047151"/>
      <w:bookmarkStart w:id="59" w:name="_Toc86047207"/>
      <w:r w:rsidRPr="00B424A1">
        <w:t>Data Analysis</w:t>
      </w:r>
      <w:bookmarkEnd w:id="48"/>
      <w:bookmarkEnd w:id="49"/>
      <w:bookmarkEnd w:id="50"/>
      <w:bookmarkEnd w:id="51"/>
      <w:bookmarkEnd w:id="52"/>
      <w:bookmarkEnd w:id="53"/>
      <w:bookmarkEnd w:id="54"/>
      <w:bookmarkEnd w:id="55"/>
      <w:bookmarkEnd w:id="56"/>
      <w:bookmarkEnd w:id="57"/>
      <w:bookmarkEnd w:id="58"/>
      <w:bookmarkEnd w:id="59"/>
    </w:p>
    <w:p w14:paraId="54AE47BC" w14:textId="5C962EE4" w:rsidR="00F163A7" w:rsidRDefault="00F163A7" w:rsidP="00F163A7">
      <w:pPr>
        <w:rPr>
          <w:noProof/>
          <w:lang w:eastAsia="en-GB"/>
        </w:rPr>
      </w:pPr>
      <w:r w:rsidRPr="00996F86">
        <w:rPr>
          <w:rFonts w:ascii="Times New Roman" w:hAnsi="Times New Roman"/>
        </w:rPr>
        <w:t xml:space="preserve">Data analyses were completed using R, version 4.0.4 (R Core Team, 2021) and the packages </w:t>
      </w:r>
      <w:r w:rsidRPr="00996F86">
        <w:rPr>
          <w:rFonts w:ascii="Times New Roman" w:hAnsi="Times New Roman"/>
          <w:i/>
        </w:rPr>
        <w:t>lavaan</w:t>
      </w:r>
      <w:r w:rsidRPr="00996F86">
        <w:rPr>
          <w:rFonts w:ascii="Times New Roman" w:hAnsi="Times New Roman"/>
        </w:rPr>
        <w:t>, version 0.6.5 (Rosseel, 2012)</w:t>
      </w:r>
      <w:r w:rsidR="006B5BEA">
        <w:rPr>
          <w:rFonts w:ascii="Times New Roman" w:hAnsi="Times New Roman"/>
        </w:rPr>
        <w:t xml:space="preserve">, </w:t>
      </w:r>
      <w:r w:rsidRPr="00B424A1">
        <w:rPr>
          <w:i/>
          <w:iCs/>
          <w:noProof/>
          <w:lang w:eastAsia="en-GB"/>
        </w:rPr>
        <w:t>BifactorIndicesCalculator</w:t>
      </w:r>
      <w:r w:rsidRPr="00B424A1">
        <w:rPr>
          <w:noProof/>
          <w:lang w:eastAsia="en-GB"/>
        </w:rPr>
        <w:t>, version 0.2.2 (Dueber, 2021)</w:t>
      </w:r>
      <w:r w:rsidR="008D5D9C">
        <w:rPr>
          <w:noProof/>
          <w:lang w:eastAsia="en-GB"/>
        </w:rPr>
        <w:t xml:space="preserve">, and </w:t>
      </w:r>
      <w:r w:rsidR="008D5D9C">
        <w:rPr>
          <w:i/>
          <w:iCs/>
          <w:noProof/>
          <w:lang w:eastAsia="en-GB"/>
        </w:rPr>
        <w:t>subscore</w:t>
      </w:r>
      <w:r w:rsidR="008D5D9C">
        <w:rPr>
          <w:noProof/>
          <w:lang w:eastAsia="en-GB"/>
        </w:rPr>
        <w:t>, version 3.3 (Dai et al., 2022).</w:t>
      </w:r>
    </w:p>
    <w:p w14:paraId="66AB98BF" w14:textId="1317739A" w:rsidR="00464867" w:rsidRDefault="00464867" w:rsidP="00464867">
      <w:pPr>
        <w:pStyle w:val="Heading3"/>
      </w:pPr>
      <w:r>
        <w:lastRenderedPageBreak/>
        <w:t>Factor Model Estimation</w:t>
      </w:r>
    </w:p>
    <w:p w14:paraId="0BB0D081" w14:textId="3E7C7DCD" w:rsidR="008C6765" w:rsidRDefault="006B5BEA" w:rsidP="00D3402F">
      <w:r>
        <w:t>In contrast to common practice in the literature, t</w:t>
      </w:r>
      <w:r w:rsidR="002B7773">
        <w:t xml:space="preserve">he goal of this </w:t>
      </w:r>
      <w:r w:rsidR="002B7773" w:rsidRPr="00B424A1">
        <w:rPr>
          <w:rFonts w:ascii="Times New Roman" w:hAnsi="Times New Roman" w:cs="Times New Roman"/>
        </w:rPr>
        <w:t xml:space="preserve">study was not to find the ‘best-fitting’ model of the DASS but rather to evaluate whether the ongoing use of the individual DASS scales is justifiable </w:t>
      </w:r>
      <w:r>
        <w:rPr>
          <w:rFonts w:ascii="Times New Roman" w:hAnsi="Times New Roman" w:cs="Times New Roman"/>
        </w:rPr>
        <w:t>in</w:t>
      </w:r>
      <w:r w:rsidR="002B7773" w:rsidRPr="00B424A1">
        <w:rPr>
          <w:rFonts w:ascii="Times New Roman" w:hAnsi="Times New Roman" w:cs="Times New Roman"/>
        </w:rPr>
        <w:t xml:space="preserve"> TBI.</w:t>
      </w:r>
      <w:r w:rsidR="002B7773">
        <w:rPr>
          <w:rFonts w:ascii="Times New Roman" w:hAnsi="Times New Roman" w:cs="Times New Roman"/>
        </w:rPr>
        <w:t xml:space="preserve"> </w:t>
      </w:r>
      <w:r w:rsidR="002B7773">
        <w:rPr>
          <w:rFonts w:ascii="Times New Roman" w:hAnsi="Times New Roman"/>
        </w:rPr>
        <w:t>T</w:t>
      </w:r>
      <w:r w:rsidR="008D5D9C">
        <w:rPr>
          <w:rFonts w:ascii="Times New Roman" w:hAnsi="Times New Roman"/>
        </w:rPr>
        <w:t>o answer our</w:t>
      </w:r>
      <w:r w:rsidR="00D3402F">
        <w:rPr>
          <w:rFonts w:ascii="Times New Roman" w:hAnsi="Times New Roman"/>
        </w:rPr>
        <w:t xml:space="preserve"> specific</w:t>
      </w:r>
      <w:r w:rsidR="008D5D9C">
        <w:rPr>
          <w:rFonts w:ascii="Times New Roman" w:hAnsi="Times New Roman"/>
        </w:rPr>
        <w:t xml:space="preserve"> research question, we focused on estimating confirmatory unidimensional and bifactor models of the DASS. </w:t>
      </w:r>
      <w:r w:rsidR="008D5D9C" w:rsidRPr="00996F86">
        <w:rPr>
          <w:rFonts w:ascii="Times New Roman" w:hAnsi="Times New Roman"/>
        </w:rPr>
        <w:t>Analyses were performed on both</w:t>
      </w:r>
      <w:r w:rsidR="008D5D9C" w:rsidRPr="00B424A1">
        <w:rPr>
          <w:rFonts w:ascii="Times New Roman" w:hAnsi="Times New Roman" w:cs="Times New Roman"/>
        </w:rPr>
        <w:t xml:space="preserve"> </w:t>
      </w:r>
      <w:r w:rsidR="008D5D9C" w:rsidRPr="00996F86">
        <w:rPr>
          <w:rFonts w:ascii="Times New Roman" w:hAnsi="Times New Roman"/>
        </w:rPr>
        <w:t>versions</w:t>
      </w:r>
      <w:r w:rsidR="002B7773">
        <w:rPr>
          <w:rFonts w:ascii="Times New Roman" w:hAnsi="Times New Roman"/>
        </w:rPr>
        <w:t xml:space="preserve"> of the DASS</w:t>
      </w:r>
      <w:r w:rsidR="008D5D9C" w:rsidRPr="00996F86">
        <w:rPr>
          <w:rFonts w:ascii="Times New Roman" w:hAnsi="Times New Roman"/>
        </w:rPr>
        <w:t xml:space="preserve"> to evaluate whether the increase in items in the </w:t>
      </w:r>
      <w:r w:rsidR="002B7773">
        <w:rPr>
          <w:rFonts w:ascii="Times New Roman" w:hAnsi="Times New Roman"/>
        </w:rPr>
        <w:t>42-item version</w:t>
      </w:r>
      <w:r w:rsidR="008D5D9C" w:rsidRPr="00996F86">
        <w:rPr>
          <w:rFonts w:ascii="Times New Roman" w:hAnsi="Times New Roman"/>
        </w:rPr>
        <w:t xml:space="preserve"> would result in greater reliability of the specific factors and </w:t>
      </w:r>
      <w:r w:rsidR="001802A8">
        <w:rPr>
          <w:rFonts w:ascii="Times New Roman" w:hAnsi="Times New Roman"/>
        </w:rPr>
        <w:t xml:space="preserve">greater </w:t>
      </w:r>
      <w:r w:rsidR="008D5D9C" w:rsidRPr="00996F86">
        <w:rPr>
          <w:rFonts w:ascii="Times New Roman" w:hAnsi="Times New Roman"/>
        </w:rPr>
        <w:t xml:space="preserve">multidimensionality. </w:t>
      </w:r>
      <w:r w:rsidR="008D5D9C" w:rsidRPr="00996F86">
        <w:t xml:space="preserve">In the unidimensional models, each item loaded on only a single, general factor </w:t>
      </w:r>
      <w:r w:rsidR="008D5D9C" w:rsidRPr="00B424A1">
        <w:rPr>
          <w:rFonts w:ascii="Times New Roman" w:hAnsi="Times New Roman" w:cs="Times New Roman"/>
        </w:rPr>
        <w:t>–</w:t>
      </w:r>
      <w:r w:rsidR="008D5D9C" w:rsidRPr="00996F86">
        <w:t xml:space="preserve"> ‘general distress’.</w:t>
      </w:r>
      <w:r w:rsidR="008D5D9C" w:rsidRPr="00996F86">
        <w:rPr>
          <w:lang w:val="en-GB"/>
        </w:rPr>
        <w:t xml:space="preserve"> </w:t>
      </w:r>
      <w:r w:rsidR="008D5D9C" w:rsidRPr="00996F86">
        <w:t xml:space="preserve">In the bifactor models, each item loaded on the general distress factor and on one of three specific factors corresponding to the </w:t>
      </w:r>
      <w:r w:rsidR="00A36B4A">
        <w:t xml:space="preserve">conventional </w:t>
      </w:r>
      <w:r w:rsidR="008D5D9C" w:rsidRPr="00996F86">
        <w:t>depression, anxiety, and stress scales. To achieve complete separation of the systematic variance due to the general and specific factors, factors were set as orthogonal</w:t>
      </w:r>
      <w:r w:rsidR="002B7773">
        <w:t xml:space="preserve"> in the bifactor model, with</w:t>
      </w:r>
      <w:r w:rsidR="008D5D9C" w:rsidRPr="00996F86">
        <w:t xml:space="preserve"> inter-factor correlations constrained to zero.</w:t>
      </w:r>
      <w:r w:rsidR="008D5D9C">
        <w:t xml:space="preserve"> For completeness, we also estimated </w:t>
      </w:r>
      <w:r w:rsidR="002B7773">
        <w:t>first-</w:t>
      </w:r>
      <w:r w:rsidR="00D3402F">
        <w:t xml:space="preserve"> and</w:t>
      </w:r>
      <w:r w:rsidR="008D5D9C">
        <w:t xml:space="preserve"> second-order factor models</w:t>
      </w:r>
      <w:r w:rsidR="002B7773">
        <w:t xml:space="preserve"> for both the DASS21 and DASS42</w:t>
      </w:r>
      <w:r w:rsidR="008D5D9C">
        <w:t xml:space="preserve">. </w:t>
      </w:r>
      <w:r w:rsidR="002B7773">
        <w:t>All m</w:t>
      </w:r>
      <w:r w:rsidR="002B7773" w:rsidRPr="00996F86">
        <w:t>odels were estimated using maximum likelihood estimation (</w:t>
      </w:r>
      <w:r w:rsidR="002B7773" w:rsidRPr="00B424A1">
        <w:rPr>
          <w:rFonts w:ascii="Times New Roman" w:eastAsia="Times New Roman" w:hAnsi="Times New Roman" w:cs="Times New Roman"/>
          <w:lang w:eastAsia="en-GB"/>
        </w:rPr>
        <w:t>Finney &amp; DiStefano 2006)</w:t>
      </w:r>
      <w:r w:rsidR="002B7773" w:rsidRPr="00B424A1">
        <w:rPr>
          <w:rFonts w:ascii="Times New Roman" w:hAnsi="Times New Roman" w:cs="Times New Roman"/>
        </w:rPr>
        <w:t xml:space="preserve">. </w:t>
      </w:r>
      <w:r w:rsidR="002B7773">
        <w:t>Diagrams illustrating each type of factor model are depicted in Figure 1.</w:t>
      </w:r>
      <w:r w:rsidR="008C6765">
        <w:br w:type="page"/>
      </w:r>
    </w:p>
    <w:p w14:paraId="2295EC71" w14:textId="77777777" w:rsidR="008C6765" w:rsidRPr="00B424A1" w:rsidRDefault="008C6765" w:rsidP="008C6765">
      <w:pPr>
        <w:spacing w:line="276" w:lineRule="auto"/>
        <w:ind w:firstLine="0"/>
        <w:rPr>
          <w:lang w:val="en-GB"/>
        </w:rPr>
      </w:pPr>
      <w:r w:rsidRPr="00B424A1">
        <w:rPr>
          <w:b/>
          <w:bCs/>
        </w:rPr>
        <w:lastRenderedPageBreak/>
        <w:t>Figure 1</w:t>
      </w:r>
      <w:r w:rsidRPr="00B424A1">
        <w:rPr>
          <w:b/>
          <w:bCs/>
        </w:rPr>
        <w:br/>
      </w:r>
      <w:r w:rsidRPr="00B424A1">
        <w:rPr>
          <w:i/>
          <w:iCs/>
        </w:rPr>
        <w:t>Factor Models of the DASS Estimated in the Current Study</w:t>
      </w:r>
    </w:p>
    <w:p w14:paraId="12C9044D" w14:textId="5D3C4168" w:rsidR="00D3402F" w:rsidRPr="00B51CF2" w:rsidRDefault="008C6765" w:rsidP="00F100DC">
      <w:pPr>
        <w:spacing w:line="276" w:lineRule="auto"/>
        <w:ind w:firstLine="0"/>
      </w:pPr>
      <w:r w:rsidRPr="00B424A1">
        <w:rPr>
          <w:noProof/>
        </w:rPr>
        <w:drawing>
          <wp:inline distT="0" distB="0" distL="0" distR="0" wp14:anchorId="4B4F9440" wp14:editId="13BFFEBB">
            <wp:extent cx="5688419" cy="7560579"/>
            <wp:effectExtent l="0" t="0" r="7620" b="2540"/>
            <wp:docPr id="548289236" name="Picture 1" descr="A diagram of a 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8289236" name="Picture 1" descr="A diagram of a diagram&#10;&#10;Description automatically generated with medium confidence"/>
                    <pic:cNvPicPr>
                      <a:picLocks noChangeAspect="1" noChangeArrowheads="1"/>
                    </pic:cNvPicPr>
                  </pic:nvPicPr>
                  <pic:blipFill rotWithShape="1">
                    <a:blip r:embed="rId8">
                      <a:extLst>
                        <a:ext uri="{28A0092B-C50C-407E-A947-70E740481C1C}">
                          <a14:useLocalDpi xmlns:a14="http://schemas.microsoft.com/office/drawing/2010/main" val="0"/>
                        </a:ext>
                      </a:extLst>
                    </a:blip>
                    <a:srcRect l="1807" t="1979" r="1861" b="2084"/>
                    <a:stretch/>
                  </pic:blipFill>
                  <pic:spPr bwMode="auto">
                    <a:xfrm>
                      <a:off x="0" y="0"/>
                      <a:ext cx="5698992" cy="7574631"/>
                    </a:xfrm>
                    <a:prstGeom prst="rect">
                      <a:avLst/>
                    </a:prstGeom>
                    <a:noFill/>
                    <a:ln>
                      <a:noFill/>
                    </a:ln>
                    <a:extLst>
                      <a:ext uri="{53640926-AAD7-44D8-BBD7-CCE9431645EC}">
                        <a14:shadowObscured xmlns:a14="http://schemas.microsoft.com/office/drawing/2010/main"/>
                      </a:ext>
                    </a:extLst>
                  </pic:spPr>
                </pic:pic>
              </a:graphicData>
            </a:graphic>
          </wp:inline>
        </w:drawing>
      </w:r>
      <w:r w:rsidR="00C10C11" w:rsidRPr="00B51CF2">
        <w:rPr>
          <w:i/>
          <w:iCs/>
        </w:rPr>
        <w:t>Note</w:t>
      </w:r>
      <w:r w:rsidR="00C10C11" w:rsidRPr="00B51CF2">
        <w:t>.</w:t>
      </w:r>
      <w:r w:rsidR="002B7773" w:rsidRPr="00B51CF2">
        <w:t xml:space="preserve"> </w:t>
      </w:r>
      <w:r w:rsidR="00B51CF2" w:rsidRPr="00B51CF2">
        <w:t>In the bifactor model (Panel B), the general factor directly influences items. In contrast, the general factor’s influence in the second-order model (Panel D) is</w:t>
      </w:r>
      <w:r w:rsidR="00B51CF2">
        <w:t xml:space="preserve"> mediated via the specific factors, making this model unable to completely tease apart the unique contributions of the general and specific factors. The specific factors are uncorrelated in the bifactor model </w:t>
      </w:r>
      <w:r w:rsidR="00B51CF2">
        <w:lastRenderedPageBreak/>
        <w:t xml:space="preserve">(Panel B) but correlated in the first-order model (Panel C). </w:t>
      </w:r>
      <w:r w:rsidR="00F100DC" w:rsidRPr="00F100DC">
        <w:t xml:space="preserve">The second-order model (Panel D) is simply a parametrization of the first-order model, </w:t>
      </w:r>
      <w:r w:rsidR="00F100DC" w:rsidRPr="00F100DC">
        <w:rPr>
          <w:rFonts w:cstheme="minorHAnsi"/>
          <w:color w:val="222222"/>
        </w:rPr>
        <w:t xml:space="preserve">with the </w:t>
      </w:r>
      <w:r w:rsidR="00B51CF2">
        <w:rPr>
          <w:rFonts w:cstheme="minorHAnsi"/>
          <w:color w:val="222222"/>
        </w:rPr>
        <w:t xml:space="preserve">higher-order </w:t>
      </w:r>
      <w:r w:rsidR="00F100DC" w:rsidRPr="00F100DC">
        <w:rPr>
          <w:rFonts w:cstheme="minorHAnsi"/>
          <w:color w:val="222222"/>
        </w:rPr>
        <w:t>general distress factor capturing the inter-factor correlations from the first-order model. Equivalent models were estimated for the DASS42.</w:t>
      </w:r>
    </w:p>
    <w:p w14:paraId="5F5EFD2E" w14:textId="77777777" w:rsidR="00F100DC" w:rsidRDefault="00F100DC" w:rsidP="00F100DC">
      <w:pPr>
        <w:ind w:firstLine="0"/>
        <w:rPr>
          <w:rFonts w:cstheme="minorHAnsi"/>
          <w:color w:val="222222"/>
        </w:rPr>
      </w:pPr>
    </w:p>
    <w:p w14:paraId="10A5B422" w14:textId="77777777" w:rsidR="00F100DC" w:rsidRPr="00F100DC" w:rsidRDefault="00F100DC" w:rsidP="00F100DC">
      <w:pPr>
        <w:ind w:firstLine="0"/>
      </w:pPr>
    </w:p>
    <w:p w14:paraId="4E00CFB9" w14:textId="098BCD7A" w:rsidR="00464867" w:rsidRPr="002B7773" w:rsidRDefault="00464867" w:rsidP="00464867">
      <w:pPr>
        <w:pStyle w:val="Heading3"/>
      </w:pPr>
      <w:r>
        <w:t>Model Fit Indices</w:t>
      </w:r>
    </w:p>
    <w:p w14:paraId="50EE02C0" w14:textId="7781AF72" w:rsidR="00047F6C" w:rsidRPr="009037B2" w:rsidRDefault="002B7773" w:rsidP="00D3402F">
      <w:r>
        <w:rPr>
          <w:rFonts w:ascii="Times New Roman" w:hAnsi="Times New Roman" w:cs="Times New Roman"/>
        </w:rPr>
        <w:t>As previously stated, t</w:t>
      </w:r>
      <w:r w:rsidRPr="00B424A1">
        <w:rPr>
          <w:rFonts w:ascii="Times New Roman" w:hAnsi="Times New Roman" w:cs="Times New Roman"/>
        </w:rPr>
        <w:t>raditional model fit indices are known to be biased in favor of bifactor models, and over-reliance on these statistics can lead to erroneous conclusions</w:t>
      </w:r>
      <w:r>
        <w:rPr>
          <w:rFonts w:ascii="Times New Roman" w:hAnsi="Times New Roman" w:cs="Times New Roman"/>
        </w:rPr>
        <w:t xml:space="preserve"> in factor analytic studies</w:t>
      </w:r>
      <w:r w:rsidRPr="00B424A1">
        <w:rPr>
          <w:rFonts w:ascii="Times New Roman" w:hAnsi="Times New Roman" w:cs="Times New Roman"/>
        </w:rPr>
        <w:t xml:space="preserve"> (Greene et al., 2022). </w:t>
      </w:r>
      <w:r>
        <w:rPr>
          <w:rFonts w:ascii="Times New Roman" w:hAnsi="Times New Roman" w:cs="Times New Roman"/>
        </w:rPr>
        <w:t xml:space="preserve">Therefore, we </w:t>
      </w:r>
      <w:r w:rsidR="00464867">
        <w:rPr>
          <w:rFonts w:ascii="Times New Roman" w:hAnsi="Times New Roman" w:cs="Times New Roman"/>
        </w:rPr>
        <w:t xml:space="preserve">avoided </w:t>
      </w:r>
      <w:r w:rsidR="006B5BEA">
        <w:rPr>
          <w:rFonts w:ascii="Times New Roman" w:hAnsi="Times New Roman" w:cs="Times New Roman"/>
        </w:rPr>
        <w:t>focusing narrowly</w:t>
      </w:r>
      <w:r w:rsidR="00464867">
        <w:rPr>
          <w:rFonts w:ascii="Times New Roman" w:hAnsi="Times New Roman" w:cs="Times New Roman"/>
        </w:rPr>
        <w:t xml:space="preserve"> on</w:t>
      </w:r>
      <w:r>
        <w:rPr>
          <w:rFonts w:ascii="Times New Roman" w:hAnsi="Times New Roman" w:cs="Times New Roman"/>
        </w:rPr>
        <w:t xml:space="preserve"> traditional model fit indices. Nevertheless, for transparency, </w:t>
      </w:r>
      <w:r w:rsidR="00D3402F">
        <w:rPr>
          <w:rFonts w:ascii="Times New Roman" w:hAnsi="Times New Roman" w:cs="Times New Roman"/>
        </w:rPr>
        <w:t xml:space="preserve">we </w:t>
      </w:r>
      <w:r w:rsidR="008B69EE">
        <w:rPr>
          <w:rFonts w:ascii="Times New Roman" w:hAnsi="Times New Roman" w:cs="Times New Roman"/>
        </w:rPr>
        <w:t>present</w:t>
      </w:r>
      <w:r>
        <w:rPr>
          <w:rFonts w:ascii="Times New Roman" w:hAnsi="Times New Roman" w:cs="Times New Roman"/>
        </w:rPr>
        <w:t xml:space="preserve"> model fit statistics for all factor models</w:t>
      </w:r>
      <w:r w:rsidR="008B69EE">
        <w:rPr>
          <w:rFonts w:ascii="Times New Roman" w:hAnsi="Times New Roman" w:cs="Times New Roman"/>
        </w:rPr>
        <w:t xml:space="preserve">. Models were deemed to have </w:t>
      </w:r>
      <w:r w:rsidRPr="00996F86">
        <w:rPr>
          <w:rFonts w:ascii="Times New Roman" w:hAnsi="Times New Roman"/>
        </w:rPr>
        <w:t>close fit</w:t>
      </w:r>
      <w:r>
        <w:rPr>
          <w:rFonts w:ascii="Times New Roman" w:hAnsi="Times New Roman"/>
        </w:rPr>
        <w:t xml:space="preserve"> </w:t>
      </w:r>
      <w:r w:rsidRPr="00996F86">
        <w:rPr>
          <w:rFonts w:ascii="Times New Roman" w:hAnsi="Times New Roman"/>
        </w:rPr>
        <w:t>if the Root Mean Square Error of Approximation (RMSEA)</w:t>
      </w:r>
      <w:r w:rsidR="00721A0C">
        <w:rPr>
          <w:rFonts w:ascii="Times New Roman" w:hAnsi="Times New Roman"/>
        </w:rPr>
        <w:t xml:space="preserve"> </w:t>
      </w:r>
      <w:r w:rsidRPr="00996F86">
        <w:rPr>
          <w:rFonts w:ascii="Times New Roman" w:hAnsi="Times New Roman"/>
        </w:rPr>
        <w:t>was &lt; .06 and the Comparative Fit Index (CFI) and Tucker Lewis Index (TLI) were &gt; .95</w:t>
      </w:r>
      <w:r w:rsidR="008B69EE">
        <w:rPr>
          <w:rFonts w:ascii="Times New Roman" w:hAnsi="Times New Roman" w:cs="Times New Roman"/>
        </w:rPr>
        <w:t>. A</w:t>
      </w:r>
      <w:r w:rsidR="00801819">
        <w:rPr>
          <w:rFonts w:ascii="Times New Roman" w:hAnsi="Times New Roman" w:cs="Times New Roman"/>
        </w:rPr>
        <w:t xml:space="preserve">cceptable fit </w:t>
      </w:r>
      <w:r w:rsidR="008B69EE">
        <w:rPr>
          <w:rFonts w:ascii="Times New Roman" w:hAnsi="Times New Roman" w:cs="Times New Roman"/>
        </w:rPr>
        <w:t xml:space="preserve">was defined as </w:t>
      </w:r>
      <w:r w:rsidR="00801819">
        <w:rPr>
          <w:rFonts w:ascii="Times New Roman" w:hAnsi="Times New Roman" w:cs="Times New Roman"/>
        </w:rPr>
        <w:t xml:space="preserve">RMSEA </w:t>
      </w:r>
      <w:r w:rsidR="00801819" w:rsidRPr="00996F86">
        <w:rPr>
          <w:rFonts w:ascii="Times New Roman" w:hAnsi="Times New Roman"/>
        </w:rPr>
        <w:t>&lt;</w:t>
      </w:r>
      <w:r w:rsidR="00801819">
        <w:rPr>
          <w:rFonts w:ascii="Times New Roman" w:hAnsi="Times New Roman" w:cs="Times New Roman"/>
        </w:rPr>
        <w:t xml:space="preserve"> .08, CFI </w:t>
      </w:r>
      <w:r w:rsidR="00801819" w:rsidRPr="00996F86">
        <w:rPr>
          <w:rFonts w:ascii="Times New Roman" w:hAnsi="Times New Roman"/>
        </w:rPr>
        <w:t>&gt;</w:t>
      </w:r>
      <w:r w:rsidR="00801819">
        <w:rPr>
          <w:rFonts w:ascii="Times New Roman" w:hAnsi="Times New Roman"/>
        </w:rPr>
        <w:t xml:space="preserve"> .90, and TLI </w:t>
      </w:r>
      <w:r w:rsidR="00801819" w:rsidRPr="00996F86">
        <w:rPr>
          <w:rFonts w:ascii="Times New Roman" w:hAnsi="Times New Roman"/>
        </w:rPr>
        <w:t>&gt; .9</w:t>
      </w:r>
      <w:r w:rsidR="00801819">
        <w:rPr>
          <w:rFonts w:ascii="Times New Roman" w:hAnsi="Times New Roman"/>
        </w:rPr>
        <w:t xml:space="preserve">0 </w:t>
      </w:r>
      <w:r w:rsidR="00801819" w:rsidRPr="00996F86">
        <w:rPr>
          <w:rFonts w:ascii="Times New Roman" w:hAnsi="Times New Roman"/>
        </w:rPr>
        <w:t>(</w:t>
      </w:r>
      <w:r w:rsidR="00801819">
        <w:rPr>
          <w:rFonts w:ascii="Times New Roman" w:hAnsi="Times New Roman"/>
        </w:rPr>
        <w:t xml:space="preserve">Awang, 2012; Byrne, 1994; </w:t>
      </w:r>
      <w:r w:rsidR="00801819" w:rsidRPr="00B424A1">
        <w:rPr>
          <w:rFonts w:ascii="Times New Roman" w:hAnsi="Times New Roman" w:cs="Times New Roman"/>
        </w:rPr>
        <w:t xml:space="preserve">Hu &amp; Bentler, </w:t>
      </w:r>
      <w:r w:rsidR="00801819">
        <w:rPr>
          <w:rFonts w:ascii="Times New Roman" w:hAnsi="Times New Roman" w:cs="Times New Roman"/>
        </w:rPr>
        <w:t xml:space="preserve">1999). </w:t>
      </w:r>
      <w:r w:rsidR="008B69EE">
        <w:rPr>
          <w:rFonts w:ascii="Times New Roman" w:hAnsi="Times New Roman" w:cs="Times New Roman"/>
        </w:rPr>
        <w:t xml:space="preserve">Note that the general factor in the second-order factor model simply recapitulates the correlations between the </w:t>
      </w:r>
      <w:r w:rsidR="00D3402F">
        <w:rPr>
          <w:rFonts w:ascii="Times New Roman" w:hAnsi="Times New Roman" w:cs="Times New Roman"/>
        </w:rPr>
        <w:t xml:space="preserve">depression, anxiety, and stress factors in the first-order model, so these models have equivalent fit. </w:t>
      </w:r>
      <w:r w:rsidR="008B69EE">
        <w:rPr>
          <w:rFonts w:ascii="Times New Roman" w:hAnsi="Times New Roman" w:cs="Times New Roman"/>
        </w:rPr>
        <w:t xml:space="preserve">Statistical comparison of </w:t>
      </w:r>
      <w:r w:rsidR="00D3402F">
        <w:rPr>
          <w:rFonts w:ascii="Times New Roman" w:hAnsi="Times New Roman" w:cs="Times New Roman"/>
        </w:rPr>
        <w:t xml:space="preserve">fit between the unidimensional, bifactor, and first-/second-order factor </w:t>
      </w:r>
      <w:r w:rsidR="00801819">
        <w:rPr>
          <w:rFonts w:ascii="Times New Roman" w:hAnsi="Times New Roman" w:cs="Times New Roman"/>
        </w:rPr>
        <w:t xml:space="preserve">models </w:t>
      </w:r>
      <w:r w:rsidR="008B69EE">
        <w:rPr>
          <w:rFonts w:ascii="Times New Roman" w:hAnsi="Times New Roman" w:cs="Times New Roman"/>
        </w:rPr>
        <w:t xml:space="preserve">was performed based on the </w:t>
      </w:r>
      <w:r w:rsidR="008B69EE" w:rsidRPr="008B69EE">
        <w:rPr>
          <w:rFonts w:ascii="Times New Roman" w:hAnsi="Times New Roman" w:cs="Times New Roman"/>
          <w:i/>
          <w:iCs/>
        </w:rPr>
        <w:t>χ</w:t>
      </w:r>
      <w:r w:rsidR="008B69EE">
        <w:rPr>
          <w:rFonts w:ascii="Times New Roman" w:hAnsi="Times New Roman" w:cs="Times New Roman"/>
          <w:vertAlign w:val="superscript"/>
        </w:rPr>
        <w:t>2</w:t>
      </w:r>
      <w:r w:rsidR="008B69EE">
        <w:rPr>
          <w:rFonts w:ascii="Times New Roman" w:hAnsi="Times New Roman" w:cs="Times New Roman"/>
        </w:rPr>
        <w:t xml:space="preserve"> statistic</w:t>
      </w:r>
      <w:r w:rsidR="00721A0C">
        <w:rPr>
          <w:rFonts w:ascii="Times New Roman" w:hAnsi="Times New Roman" w:cs="Times New Roman"/>
        </w:rPr>
        <w:t xml:space="preserve"> (lower values are better)</w:t>
      </w:r>
      <w:r w:rsidR="008B69EE">
        <w:rPr>
          <w:rFonts w:ascii="Times New Roman" w:hAnsi="Times New Roman" w:cs="Times New Roman"/>
        </w:rPr>
        <w:t>.</w:t>
      </w:r>
      <w:r w:rsidR="00801819">
        <w:rPr>
          <w:rFonts w:ascii="Times New Roman" w:hAnsi="Times New Roman" w:cs="Times New Roman"/>
        </w:rPr>
        <w:t xml:space="preserve"> </w:t>
      </w:r>
      <w:r w:rsidR="00D3402F">
        <w:rPr>
          <w:rFonts w:ascii="Times New Roman" w:hAnsi="Times New Roman" w:cs="Times New Roman"/>
        </w:rPr>
        <w:t xml:space="preserve">For each </w:t>
      </w:r>
      <w:r w:rsidR="00CE2639">
        <w:rPr>
          <w:rFonts w:ascii="Times New Roman" w:hAnsi="Times New Roman" w:cs="Times New Roman"/>
        </w:rPr>
        <w:t xml:space="preserve">DASS21 </w:t>
      </w:r>
      <w:r w:rsidR="00D3402F">
        <w:rPr>
          <w:rFonts w:ascii="Times New Roman" w:hAnsi="Times New Roman" w:cs="Times New Roman"/>
        </w:rPr>
        <w:t>model, we had satisfactory power to reject the hypothesis of a very close fit to the population covariance matrix based on the RMSEA (</w:t>
      </w:r>
      <w:r w:rsidR="00D3402F" w:rsidRPr="007722E9">
        <w:rPr>
          <w:rFonts w:cstheme="minorHAnsi"/>
        </w:rPr>
        <w:t>α</w:t>
      </w:r>
      <w:r w:rsidR="00D3402F" w:rsidRPr="007722E9">
        <w:t xml:space="preserve"> = .05, </w:t>
      </w:r>
      <w:r w:rsidR="00D3402F" w:rsidRPr="007722E9">
        <w:rPr>
          <w:i/>
          <w:iCs/>
        </w:rPr>
        <w:t>n</w:t>
      </w:r>
      <w:r w:rsidR="00D3402F" w:rsidRPr="007722E9">
        <w:t xml:space="preserve"> = 136, null RMSEA = .01, alternative RMSEA = .05): 87% power for the unidimensional model (</w:t>
      </w:r>
      <w:r w:rsidR="00D3402F" w:rsidRPr="007722E9">
        <w:rPr>
          <w:i/>
          <w:iCs/>
        </w:rPr>
        <w:t>df</w:t>
      </w:r>
      <w:r w:rsidR="00D3402F" w:rsidRPr="007722E9">
        <w:t xml:space="preserve"> = 189)</w:t>
      </w:r>
      <w:r w:rsidR="00D3402F">
        <w:t xml:space="preserve">, </w:t>
      </w:r>
      <w:r w:rsidR="00D3402F" w:rsidRPr="007722E9">
        <w:t>86% power for the first-</w:t>
      </w:r>
      <w:r w:rsidR="00D3402F">
        <w:t xml:space="preserve"> and second-</w:t>
      </w:r>
      <w:r w:rsidR="00D3402F" w:rsidRPr="007722E9">
        <w:t>order factor model</w:t>
      </w:r>
      <w:r w:rsidR="00D3402F">
        <w:t>s</w:t>
      </w:r>
      <w:r w:rsidR="00D3402F" w:rsidRPr="007722E9">
        <w:t xml:space="preserve"> (</w:t>
      </w:r>
      <w:r w:rsidR="00D3402F" w:rsidRPr="007722E9">
        <w:rPr>
          <w:i/>
          <w:iCs/>
        </w:rPr>
        <w:t>df</w:t>
      </w:r>
      <w:r w:rsidR="00D3402F" w:rsidRPr="007722E9">
        <w:t xml:space="preserve"> = 186), and 83% power for the </w:t>
      </w:r>
      <w:r w:rsidR="00D3402F" w:rsidRPr="00D3402F">
        <w:t>bifactor model (</w:t>
      </w:r>
      <w:r w:rsidR="00D3402F" w:rsidRPr="00D3402F">
        <w:rPr>
          <w:i/>
          <w:iCs/>
        </w:rPr>
        <w:t>df</w:t>
      </w:r>
      <w:r w:rsidR="00D3402F">
        <w:t xml:space="preserve"> </w:t>
      </w:r>
      <w:r w:rsidR="00D3402F" w:rsidRPr="00D3402F">
        <w:t>=</w:t>
      </w:r>
      <w:r w:rsidR="00D3402F">
        <w:t xml:space="preserve"> </w:t>
      </w:r>
      <w:r w:rsidR="00D3402F" w:rsidRPr="00D3402F">
        <w:t>168)</w:t>
      </w:r>
      <w:r w:rsidR="00CE2639">
        <w:t>. RMSEA-based power was higher for the DASS42 models due to increased degrees of freedom (MacCallum et al., 1996).</w:t>
      </w:r>
    </w:p>
    <w:p w14:paraId="1F321E61" w14:textId="57FE9027" w:rsidR="00464867" w:rsidRDefault="00464867" w:rsidP="00464867">
      <w:pPr>
        <w:pStyle w:val="Heading3"/>
      </w:pPr>
      <w:r>
        <w:lastRenderedPageBreak/>
        <w:t>Factor Loading Patterns and Inter-Factor Correlations</w:t>
      </w:r>
    </w:p>
    <w:p w14:paraId="00958065" w14:textId="0DA4E8A2" w:rsidR="00464867" w:rsidRDefault="000C0E8D" w:rsidP="00274C9C">
      <w:pPr>
        <w:rPr>
          <w:rFonts w:ascii="Times New Roman" w:eastAsia="Times New Roman" w:hAnsi="Times New Roman" w:cs="Times New Roman"/>
          <w:shd w:val="clear" w:color="auto" w:fill="FFFFFF"/>
          <w:lang w:eastAsia="en-GB"/>
        </w:rPr>
      </w:pPr>
      <w:r>
        <w:rPr>
          <w:rFonts w:ascii="Times New Roman" w:hAnsi="Times New Roman" w:cs="Times New Roman"/>
        </w:rPr>
        <w:t>Instead of</w:t>
      </w:r>
      <w:r w:rsidR="00274C9C">
        <w:rPr>
          <w:rFonts w:ascii="Times New Roman" w:hAnsi="Times New Roman" w:cs="Times New Roman"/>
        </w:rPr>
        <w:t xml:space="preserve"> focusing narrowly on</w:t>
      </w:r>
      <w:r w:rsidR="00274C9C" w:rsidRPr="00B424A1">
        <w:rPr>
          <w:rFonts w:ascii="Times New Roman" w:hAnsi="Times New Roman" w:cs="Times New Roman"/>
        </w:rPr>
        <w:t xml:space="preserve"> model fit indices, </w:t>
      </w:r>
      <w:r w:rsidR="00274C9C">
        <w:rPr>
          <w:rFonts w:ascii="Times New Roman" w:hAnsi="Times New Roman" w:cs="Times New Roman"/>
        </w:rPr>
        <w:t xml:space="preserve">we interrogated the hierarchical structure of the DASS more closely, </w:t>
      </w:r>
      <w:r w:rsidR="009037B2">
        <w:rPr>
          <w:rFonts w:ascii="Times New Roman" w:hAnsi="Times New Roman" w:cs="Times New Roman"/>
        </w:rPr>
        <w:t xml:space="preserve">scrutinizing </w:t>
      </w:r>
      <w:r w:rsidR="00274C9C">
        <w:rPr>
          <w:rFonts w:ascii="Times New Roman" w:hAnsi="Times New Roman" w:cs="Times New Roman"/>
        </w:rPr>
        <w:t xml:space="preserve">the factor loading patterns. We assessed the </w:t>
      </w:r>
      <w:r w:rsidR="00274C9C" w:rsidRPr="00B424A1">
        <w:rPr>
          <w:rFonts w:ascii="Times New Roman" w:hAnsi="Times New Roman" w:cs="Times New Roman"/>
        </w:rPr>
        <w:t xml:space="preserve">salience of </w:t>
      </w:r>
      <w:r w:rsidR="00D66A40">
        <w:rPr>
          <w:rFonts w:ascii="Times New Roman" w:hAnsi="Times New Roman" w:cs="Times New Roman"/>
        </w:rPr>
        <w:t xml:space="preserve">the fully standardized </w:t>
      </w:r>
      <w:r w:rsidR="00274C9C" w:rsidRPr="00B424A1">
        <w:rPr>
          <w:rFonts w:ascii="Times New Roman" w:hAnsi="Times New Roman" w:cs="Times New Roman"/>
        </w:rPr>
        <w:t>factor loadings using the following criteria:</w:t>
      </w:r>
      <w:r w:rsidR="004452E8">
        <w:rPr>
          <w:rFonts w:ascii="Times New Roman" w:hAnsi="Times New Roman" w:cs="Times New Roman"/>
          <w:sz w:val="48"/>
          <w:szCs w:val="48"/>
          <w:shd w:val="clear" w:color="auto" w:fill="FFFFFF"/>
        </w:rPr>
        <w:t xml:space="preserve"> </w:t>
      </w:r>
      <w:r w:rsidR="00274C9C" w:rsidRPr="00B424A1">
        <w:rPr>
          <w:rFonts w:ascii="Times New Roman" w:eastAsia="Times New Roman" w:hAnsi="Times New Roman" w:cs="Times New Roman"/>
          <w:shd w:val="clear" w:color="auto" w:fill="FFFFFF"/>
          <w:lang w:eastAsia="en-GB"/>
        </w:rPr>
        <w:t xml:space="preserve">≥ .71 = ‘excellent’, ≥ .63 = ‘very good’, ≥ .55 = ‘good’, ≥ .45 </w:t>
      </w:r>
      <w:r w:rsidR="00274C9C" w:rsidRPr="003E68E7">
        <w:rPr>
          <w:rFonts w:ascii="Times New Roman" w:eastAsia="Times New Roman" w:hAnsi="Times New Roman" w:cs="Times New Roman"/>
          <w:shd w:val="clear" w:color="auto" w:fill="FFFFFF"/>
          <w:lang w:eastAsia="en-GB"/>
        </w:rPr>
        <w:t>=</w:t>
      </w:r>
      <w:r w:rsidR="00274C9C">
        <w:rPr>
          <w:rFonts w:ascii="Times New Roman" w:eastAsia="Times New Roman" w:hAnsi="Times New Roman" w:cs="Times New Roman"/>
          <w:shd w:val="clear" w:color="auto" w:fill="FFFFFF"/>
          <w:lang w:eastAsia="en-GB"/>
        </w:rPr>
        <w:t xml:space="preserve"> ‘</w:t>
      </w:r>
      <w:r w:rsidR="00274C9C" w:rsidRPr="00B424A1">
        <w:rPr>
          <w:rFonts w:ascii="Times New Roman" w:eastAsia="Times New Roman" w:hAnsi="Times New Roman" w:cs="Times New Roman"/>
          <w:shd w:val="clear" w:color="auto" w:fill="FFFFFF"/>
          <w:lang w:eastAsia="en-GB"/>
        </w:rPr>
        <w:t>fair’, ≥ .32 =</w:t>
      </w:r>
      <w:r w:rsidR="00274C9C">
        <w:rPr>
          <w:rFonts w:ascii="Times New Roman" w:eastAsia="Times New Roman" w:hAnsi="Times New Roman" w:cs="Times New Roman"/>
          <w:shd w:val="clear" w:color="auto" w:fill="FFFFFF"/>
          <w:lang w:eastAsia="en-GB"/>
        </w:rPr>
        <w:t xml:space="preserve"> </w:t>
      </w:r>
      <w:r w:rsidR="00274C9C" w:rsidRPr="00B424A1">
        <w:rPr>
          <w:rFonts w:ascii="Times New Roman" w:eastAsia="Times New Roman" w:hAnsi="Times New Roman" w:cs="Times New Roman"/>
          <w:shd w:val="clear" w:color="auto" w:fill="FFFFFF"/>
          <w:lang w:eastAsia="en-GB"/>
        </w:rPr>
        <w:t xml:space="preserve">‘poor’, ˂ .32 = ‘very low’ and inadequate </w:t>
      </w:r>
      <w:r w:rsidR="00274C9C" w:rsidRPr="00B424A1">
        <w:rPr>
          <w:rFonts w:ascii="Times New Roman" w:eastAsia="Times New Roman" w:hAnsi="Times New Roman" w:cs="Times New Roman"/>
          <w:noProof/>
          <w:shd w:val="clear" w:color="auto" w:fill="FFFFFF"/>
          <w:lang w:eastAsia="en-GB"/>
        </w:rPr>
        <w:t>(Tabachnick et al., 2019)</w:t>
      </w:r>
      <w:r w:rsidR="00274C9C" w:rsidRPr="00B424A1">
        <w:rPr>
          <w:rFonts w:ascii="Times New Roman" w:eastAsia="Times New Roman" w:hAnsi="Times New Roman" w:cs="Times New Roman"/>
          <w:shd w:val="clear" w:color="auto" w:fill="FFFFFF"/>
          <w:lang w:eastAsia="en-GB"/>
        </w:rPr>
        <w:t xml:space="preserve">. </w:t>
      </w:r>
      <w:r w:rsidR="006474CB">
        <w:rPr>
          <w:rFonts w:ascii="Times New Roman" w:eastAsia="Times New Roman" w:hAnsi="Times New Roman" w:cs="Times New Roman"/>
          <w:shd w:val="clear" w:color="auto" w:fill="FFFFFF"/>
          <w:lang w:eastAsia="en-GB"/>
        </w:rPr>
        <w:t>Given our specific research question regarding the viability of the DASS total and individual scale scores, we were particularly focused on inspecting</w:t>
      </w:r>
      <w:r w:rsidR="009037B2">
        <w:rPr>
          <w:rFonts w:ascii="Times New Roman" w:eastAsia="Times New Roman" w:hAnsi="Times New Roman" w:cs="Times New Roman"/>
          <w:shd w:val="clear" w:color="auto" w:fill="FFFFFF"/>
          <w:lang w:eastAsia="en-GB"/>
        </w:rPr>
        <w:t xml:space="preserve"> </w:t>
      </w:r>
      <w:r w:rsidR="00721A0C">
        <w:rPr>
          <w:rFonts w:ascii="Times New Roman" w:eastAsia="Times New Roman" w:hAnsi="Times New Roman" w:cs="Times New Roman"/>
          <w:shd w:val="clear" w:color="auto" w:fill="FFFFFF"/>
          <w:lang w:eastAsia="en-GB"/>
        </w:rPr>
        <w:t xml:space="preserve">and comparing </w:t>
      </w:r>
      <w:r w:rsidR="006474CB">
        <w:rPr>
          <w:rFonts w:ascii="Times New Roman" w:eastAsia="Times New Roman" w:hAnsi="Times New Roman" w:cs="Times New Roman"/>
          <w:shd w:val="clear" w:color="auto" w:fill="FFFFFF"/>
          <w:lang w:eastAsia="en-GB"/>
        </w:rPr>
        <w:t xml:space="preserve">loadings </w:t>
      </w:r>
      <w:r w:rsidR="009037B2">
        <w:rPr>
          <w:rFonts w:ascii="Times New Roman" w:eastAsia="Times New Roman" w:hAnsi="Times New Roman" w:cs="Times New Roman"/>
          <w:shd w:val="clear" w:color="auto" w:fill="FFFFFF"/>
          <w:lang w:eastAsia="en-GB"/>
        </w:rPr>
        <w:t xml:space="preserve">from </w:t>
      </w:r>
      <w:r w:rsidR="006474CB">
        <w:rPr>
          <w:rFonts w:ascii="Times New Roman" w:eastAsia="Times New Roman" w:hAnsi="Times New Roman" w:cs="Times New Roman"/>
          <w:shd w:val="clear" w:color="auto" w:fill="FFFFFF"/>
          <w:lang w:eastAsia="en-GB"/>
        </w:rPr>
        <w:t xml:space="preserve">the </w:t>
      </w:r>
      <w:r w:rsidR="009F6EB0">
        <w:rPr>
          <w:rFonts w:ascii="Times New Roman" w:eastAsia="Times New Roman" w:hAnsi="Times New Roman" w:cs="Times New Roman"/>
          <w:shd w:val="clear" w:color="auto" w:fill="FFFFFF"/>
          <w:lang w:eastAsia="en-GB"/>
        </w:rPr>
        <w:t>bifactor and unidimensional</w:t>
      </w:r>
      <w:r w:rsidR="006474CB">
        <w:rPr>
          <w:rFonts w:ascii="Times New Roman" w:eastAsia="Times New Roman" w:hAnsi="Times New Roman" w:cs="Times New Roman"/>
          <w:shd w:val="clear" w:color="auto" w:fill="FFFFFF"/>
          <w:lang w:eastAsia="en-GB"/>
        </w:rPr>
        <w:t xml:space="preserve"> models. Additionally, we</w:t>
      </w:r>
      <w:r w:rsidR="00464867">
        <w:rPr>
          <w:rFonts w:ascii="Times New Roman" w:eastAsia="Times New Roman" w:hAnsi="Times New Roman" w:cs="Times New Roman"/>
          <w:shd w:val="clear" w:color="auto" w:fill="FFFFFF"/>
          <w:lang w:eastAsia="en-GB"/>
        </w:rPr>
        <w:t xml:space="preserve"> considered the inter-factor correlations in the first- and second-order factor models, with </w:t>
      </w:r>
      <w:r w:rsidR="00464867" w:rsidRPr="00464867">
        <w:rPr>
          <w:rFonts w:ascii="Times New Roman" w:eastAsia="Times New Roman" w:hAnsi="Times New Roman" w:cs="Times New Roman"/>
          <w:i/>
          <w:iCs/>
          <w:shd w:val="clear" w:color="auto" w:fill="FFFFFF"/>
          <w:lang w:eastAsia="en-GB"/>
        </w:rPr>
        <w:t>r</w:t>
      </w:r>
      <w:r w:rsidR="00464867">
        <w:rPr>
          <w:rFonts w:ascii="Times New Roman" w:eastAsia="Times New Roman" w:hAnsi="Times New Roman" w:cs="Times New Roman"/>
          <w:shd w:val="clear" w:color="auto" w:fill="FFFFFF"/>
          <w:lang w:eastAsia="en-GB"/>
        </w:rPr>
        <w:t xml:space="preserve"> ≥ .75 raising concerns about whether the factors </w:t>
      </w:r>
      <w:r w:rsidR="006474CB">
        <w:rPr>
          <w:rFonts w:ascii="Times New Roman" w:eastAsia="Times New Roman" w:hAnsi="Times New Roman" w:cs="Times New Roman"/>
          <w:shd w:val="clear" w:color="auto" w:fill="FFFFFF"/>
          <w:lang w:eastAsia="en-GB"/>
        </w:rPr>
        <w:t>were</w:t>
      </w:r>
      <w:r w:rsidR="00464867">
        <w:rPr>
          <w:rFonts w:ascii="Times New Roman" w:eastAsia="Times New Roman" w:hAnsi="Times New Roman" w:cs="Times New Roman"/>
          <w:shd w:val="clear" w:color="auto" w:fill="FFFFFF"/>
          <w:lang w:eastAsia="en-GB"/>
        </w:rPr>
        <w:t xml:space="preserve"> sufficiently differentiated (Farrell, 2010; Greene et al., 2022).</w:t>
      </w:r>
      <w:r w:rsidR="00D66A40">
        <w:rPr>
          <w:rFonts w:ascii="Times New Roman" w:eastAsia="Times New Roman" w:hAnsi="Times New Roman" w:cs="Times New Roman"/>
          <w:shd w:val="clear" w:color="auto" w:fill="FFFFFF"/>
          <w:lang w:eastAsia="en-GB"/>
        </w:rPr>
        <w:t xml:space="preserve"> </w:t>
      </w:r>
      <w:r w:rsidR="00791CDB">
        <w:rPr>
          <w:rFonts w:ascii="Times New Roman" w:eastAsia="Times New Roman" w:hAnsi="Times New Roman" w:cs="Times New Roman"/>
          <w:shd w:val="clear" w:color="auto" w:fill="FFFFFF"/>
          <w:lang w:eastAsia="en-GB"/>
        </w:rPr>
        <w:t>We computed bootstrapped 95% confidence intervals</w:t>
      </w:r>
      <w:r w:rsidR="00AD5C7E">
        <w:rPr>
          <w:rFonts w:ascii="Times New Roman" w:eastAsia="Times New Roman" w:hAnsi="Times New Roman" w:cs="Times New Roman"/>
          <w:shd w:val="clear" w:color="auto" w:fill="FFFFFF"/>
          <w:lang w:eastAsia="en-GB"/>
        </w:rPr>
        <w:t xml:space="preserve"> (CIs)</w:t>
      </w:r>
      <w:r w:rsidR="00791CDB">
        <w:rPr>
          <w:rFonts w:ascii="Times New Roman" w:eastAsia="Times New Roman" w:hAnsi="Times New Roman" w:cs="Times New Roman"/>
          <w:shd w:val="clear" w:color="auto" w:fill="FFFFFF"/>
          <w:lang w:eastAsia="en-GB"/>
        </w:rPr>
        <w:t xml:space="preserve"> for the factor loadings to gauge the level of confidence in our conclusions.</w:t>
      </w:r>
    </w:p>
    <w:p w14:paraId="204B61B0" w14:textId="17B665BB" w:rsidR="00464867" w:rsidRDefault="00464867" w:rsidP="00464867">
      <w:pPr>
        <w:pStyle w:val="Heading3"/>
        <w:rPr>
          <w:shd w:val="clear" w:color="auto" w:fill="FFFFFF"/>
          <w:lang w:eastAsia="en-GB"/>
        </w:rPr>
      </w:pPr>
      <w:r>
        <w:rPr>
          <w:shd w:val="clear" w:color="auto" w:fill="FFFFFF"/>
          <w:lang w:eastAsia="en-GB"/>
        </w:rPr>
        <w:t>Bifactor Statistical Indices</w:t>
      </w:r>
    </w:p>
    <w:p w14:paraId="57A9FB5D" w14:textId="1A58EE24" w:rsidR="00AD0196" w:rsidRDefault="009037B2" w:rsidP="009037B2">
      <w:pPr>
        <w:rPr>
          <w:rFonts w:ascii="Times New Roman" w:eastAsia="Times New Roman" w:hAnsi="Times New Roman" w:cs="Times New Roman"/>
          <w:lang w:eastAsia="en-GB"/>
        </w:rPr>
      </w:pPr>
      <w:r>
        <w:rPr>
          <w:lang w:eastAsia="en-GB"/>
        </w:rPr>
        <w:t xml:space="preserve">The main analyses, </w:t>
      </w:r>
      <w:r w:rsidR="008C6765">
        <w:rPr>
          <w:lang w:eastAsia="en-GB"/>
        </w:rPr>
        <w:t>forming the basis of our hypotheses</w:t>
      </w:r>
      <w:r>
        <w:rPr>
          <w:lang w:eastAsia="en-GB"/>
        </w:rPr>
        <w:t xml:space="preserve">, involved computing </w:t>
      </w:r>
      <w:r w:rsidR="00D66A40">
        <w:rPr>
          <w:lang w:eastAsia="en-GB"/>
        </w:rPr>
        <w:t xml:space="preserve">the previously </w:t>
      </w:r>
      <w:r w:rsidR="00721A0C">
        <w:rPr>
          <w:lang w:eastAsia="en-GB"/>
        </w:rPr>
        <w:t>introduced</w:t>
      </w:r>
      <w:r w:rsidR="00D66A40">
        <w:rPr>
          <w:lang w:eastAsia="en-GB"/>
        </w:rPr>
        <w:t xml:space="preserve"> </w:t>
      </w:r>
      <w:r>
        <w:rPr>
          <w:lang w:eastAsia="en-GB"/>
        </w:rPr>
        <w:t>bifactor statistical indices</w:t>
      </w:r>
      <w:r w:rsidR="00721A0C">
        <w:rPr>
          <w:lang w:eastAsia="en-GB"/>
        </w:rPr>
        <w:t xml:space="preserve">, </w:t>
      </w:r>
      <w:r>
        <w:rPr>
          <w:lang w:eastAsia="en-GB"/>
        </w:rPr>
        <w:t xml:space="preserve">derived from factor loadings in </w:t>
      </w:r>
      <w:r w:rsidR="008C6765">
        <w:rPr>
          <w:lang w:eastAsia="en-GB"/>
        </w:rPr>
        <w:t xml:space="preserve">the </w:t>
      </w:r>
      <w:r>
        <w:rPr>
          <w:lang w:eastAsia="en-GB"/>
        </w:rPr>
        <w:t>bifactor</w:t>
      </w:r>
      <w:r w:rsidR="008C6765">
        <w:rPr>
          <w:lang w:eastAsia="en-GB"/>
        </w:rPr>
        <w:t xml:space="preserve"> model</w:t>
      </w:r>
      <w:r w:rsidR="001802A8">
        <w:rPr>
          <w:lang w:eastAsia="en-GB"/>
        </w:rPr>
        <w:t>s</w:t>
      </w:r>
      <w:r>
        <w:rPr>
          <w:lang w:eastAsia="en-GB"/>
        </w:rPr>
        <w:t xml:space="preserve"> (</w:t>
      </w:r>
      <w:r w:rsidRPr="00B424A1">
        <w:rPr>
          <w:rFonts w:eastAsia="MS Gothic"/>
          <w:lang w:eastAsia="en-GB"/>
        </w:rPr>
        <w:t>ω</w:t>
      </w:r>
      <w:r w:rsidRPr="00B424A1">
        <w:rPr>
          <w:i/>
          <w:iCs/>
          <w:position w:val="-2"/>
          <w:vertAlign w:val="subscript"/>
          <w:lang w:eastAsia="en-GB"/>
        </w:rPr>
        <w:t>h</w:t>
      </w:r>
      <w:r w:rsidRPr="00B424A1">
        <w:rPr>
          <w:position w:val="-2"/>
          <w:sz w:val="20"/>
          <w:szCs w:val="20"/>
          <w:lang w:eastAsia="en-GB"/>
        </w:rPr>
        <w:t xml:space="preserve">, </w:t>
      </w:r>
      <w:r w:rsidRPr="00B424A1">
        <w:rPr>
          <w:rFonts w:eastAsia="MS Gothic"/>
          <w:sz w:val="20"/>
          <w:szCs w:val="20"/>
          <w:lang w:eastAsia="en-GB"/>
        </w:rPr>
        <w:t>ω</w:t>
      </w:r>
      <w:r w:rsidRPr="00B424A1">
        <w:rPr>
          <w:i/>
          <w:iCs/>
          <w:position w:val="-2"/>
          <w:sz w:val="20"/>
          <w:szCs w:val="20"/>
          <w:vertAlign w:val="subscript"/>
          <w:lang w:eastAsia="en-GB"/>
        </w:rPr>
        <w:t>hs</w:t>
      </w:r>
      <w:r>
        <w:rPr>
          <w:position w:val="-2"/>
          <w:sz w:val="20"/>
          <w:szCs w:val="20"/>
          <w:lang w:eastAsia="en-GB"/>
        </w:rPr>
        <w:t xml:space="preserve">, </w:t>
      </w:r>
      <w:r w:rsidRPr="00B424A1">
        <w:t>ECV, S-ECV, PUC</w:t>
      </w:r>
      <w:r>
        <w:t>)</w:t>
      </w:r>
      <w:r w:rsidR="008C6765">
        <w:t xml:space="preserve"> </w:t>
      </w:r>
      <w:r w:rsidR="001802A8">
        <w:t xml:space="preserve">in combination with the unidimensional models </w:t>
      </w:r>
      <w:r>
        <w:t>(ARPB). These novel indices were employed to formally quantify the</w:t>
      </w:r>
      <w:r>
        <w:rPr>
          <w:lang w:eastAsia="en-GB"/>
        </w:rPr>
        <w:t xml:space="preserve"> </w:t>
      </w:r>
      <w:r w:rsidR="008C6765">
        <w:rPr>
          <w:lang w:eastAsia="en-GB"/>
        </w:rPr>
        <w:t xml:space="preserve">relative </w:t>
      </w:r>
      <w:r w:rsidR="00274C9C" w:rsidRPr="00B424A1">
        <w:t>reliability of the DASS general and specific factors (</w:t>
      </w:r>
      <w:r w:rsidR="00274C9C" w:rsidRPr="00B424A1">
        <w:rPr>
          <w:rFonts w:eastAsia="MS Gothic"/>
          <w:lang w:eastAsia="en-GB"/>
        </w:rPr>
        <w:t>ω</w:t>
      </w:r>
      <w:r w:rsidR="00274C9C" w:rsidRPr="00B424A1">
        <w:rPr>
          <w:i/>
          <w:iCs/>
          <w:position w:val="-2"/>
          <w:vertAlign w:val="subscript"/>
          <w:lang w:eastAsia="en-GB"/>
        </w:rPr>
        <w:t>h</w:t>
      </w:r>
      <w:r w:rsidR="00274C9C" w:rsidRPr="00B424A1">
        <w:rPr>
          <w:position w:val="-2"/>
          <w:sz w:val="20"/>
          <w:szCs w:val="20"/>
          <w:lang w:eastAsia="en-GB"/>
        </w:rPr>
        <w:t xml:space="preserve">, </w:t>
      </w:r>
      <w:r w:rsidR="00274C9C" w:rsidRPr="00B424A1">
        <w:rPr>
          <w:rFonts w:eastAsia="MS Gothic"/>
          <w:sz w:val="20"/>
          <w:szCs w:val="20"/>
          <w:lang w:eastAsia="en-GB"/>
        </w:rPr>
        <w:t>ω</w:t>
      </w:r>
      <w:r w:rsidR="00274C9C" w:rsidRPr="00B424A1">
        <w:rPr>
          <w:i/>
          <w:iCs/>
          <w:position w:val="-2"/>
          <w:sz w:val="20"/>
          <w:szCs w:val="20"/>
          <w:vertAlign w:val="subscript"/>
          <w:lang w:eastAsia="en-GB"/>
        </w:rPr>
        <w:t>hs</w:t>
      </w:r>
      <w:r w:rsidR="00274C9C" w:rsidRPr="00B424A1">
        <w:rPr>
          <w:position w:val="-2"/>
          <w:lang w:eastAsia="en-GB"/>
        </w:rPr>
        <w:t>)</w:t>
      </w:r>
      <w:r w:rsidR="00274C9C" w:rsidRPr="00B424A1">
        <w:rPr>
          <w:position w:val="-2"/>
          <w:sz w:val="20"/>
          <w:szCs w:val="20"/>
          <w:lang w:eastAsia="en-GB"/>
        </w:rPr>
        <w:t xml:space="preserve"> </w:t>
      </w:r>
      <w:r w:rsidR="00274C9C" w:rsidRPr="00B424A1">
        <w:t>and the extent to which the DASS can be used as a unidimensional instrument (ECV, S-ECV, PUC, ARPB). Refer to Table 1 for a definition of each index computed.</w:t>
      </w:r>
      <w:r w:rsidR="00274C9C" w:rsidRPr="00B424A1">
        <w:rPr>
          <w:rFonts w:ascii="Times New Roman" w:eastAsia="Times New Roman" w:hAnsi="Times New Roman" w:cs="Times New Roman"/>
          <w:lang w:eastAsia="en-GB"/>
        </w:rPr>
        <w:t xml:space="preserve"> We also investigated possible sources of multidimensionality of the DASS21 and DASS42 at the individual item level</w:t>
      </w:r>
      <w:r w:rsidR="00721A0C">
        <w:rPr>
          <w:rFonts w:ascii="Times New Roman" w:eastAsia="Times New Roman" w:hAnsi="Times New Roman" w:cs="Times New Roman"/>
          <w:lang w:eastAsia="en-GB"/>
        </w:rPr>
        <w:t xml:space="preserve"> (rather than factor level)</w:t>
      </w:r>
      <w:r w:rsidR="00274C9C" w:rsidRPr="00B424A1">
        <w:rPr>
          <w:rFonts w:ascii="Times New Roman" w:eastAsia="Times New Roman" w:hAnsi="Times New Roman" w:cs="Times New Roman"/>
          <w:lang w:eastAsia="en-GB"/>
        </w:rPr>
        <w:t xml:space="preserve"> by examining the item-level explained common variance (I-ECV) and the relative parameter bias (RPB). We considered individual items as having a meaningful association with their respective specific factor if: </w:t>
      </w:r>
      <w:r w:rsidR="00274C9C" w:rsidRPr="00996F86">
        <w:rPr>
          <w:rFonts w:ascii="Times New Roman" w:hAnsi="Times New Roman"/>
        </w:rPr>
        <w:t xml:space="preserve">1) at least 15% of the common variance at the item level was attributable to the </w:t>
      </w:r>
      <w:r w:rsidR="00274C9C" w:rsidRPr="00996F86">
        <w:rPr>
          <w:rFonts w:ascii="Times New Roman" w:hAnsi="Times New Roman"/>
        </w:rPr>
        <w:lastRenderedPageBreak/>
        <w:t xml:space="preserve">specific factor (i.e., I-ECV &lt; 85%) and the item’s loading on the general factor changed by at least 10% when not including the specific factors in the model (i.e., RPB </w:t>
      </w:r>
      <w:r w:rsidR="00274C9C" w:rsidRPr="00B424A1">
        <w:rPr>
          <w:rFonts w:ascii="Times New Roman" w:eastAsia="Times New Roman" w:hAnsi="Times New Roman" w:cs="Times New Roman"/>
          <w:lang w:eastAsia="en-GB"/>
        </w:rPr>
        <w:t>≥ 10%).</w:t>
      </w:r>
    </w:p>
    <w:p w14:paraId="491C7261" w14:textId="591DBDFF" w:rsidR="00274C9C" w:rsidRPr="00AD0196" w:rsidRDefault="00AD0196" w:rsidP="00AD0196">
      <w:pPr>
        <w:rPr>
          <w:rFonts w:ascii="Times New Roman" w:eastAsia="Times New Roman" w:hAnsi="Times New Roman" w:cs="Times New Roman"/>
          <w:lang w:eastAsia="en-GB"/>
        </w:rPr>
      </w:pPr>
      <w:r w:rsidRPr="00B424A1">
        <w:t xml:space="preserve">The bifactor statistical indices in Table 1 are focused on assessing the appropriateness of interpreting the DASS as a unidimensional measure (i.e., evaluating the general factor). An equally important question is determining if the data are multidimensional enough to justify interpreting the individual scale scores (i.e., evaluating the specific factors). These scenarios are not mutually exclusive; it is possible that interpretation of both the DASS total score and one or more of the individual scale scores is justified from a psychometric perspective (Dueber &amp; Toland, 2023). To address this, we supplemented our bifactor analysis by calculating the </w:t>
      </w:r>
      <w:r w:rsidRPr="001802A8">
        <w:rPr>
          <w:i/>
          <w:iCs/>
        </w:rPr>
        <w:t>value-added ratio</w:t>
      </w:r>
      <w:r w:rsidRPr="00B424A1">
        <w:t xml:space="preserve"> (VAR) for each DASS scale, assessing whether the observed depression, anxiety, and stress scale scores (with measurement error) explained more variance in the true scale scores (without measurement error) than the observed total score. </w:t>
      </w:r>
      <w:r>
        <w:t xml:space="preserve">Using a previous heuristic from the literature, a </w:t>
      </w:r>
      <w:r w:rsidRPr="00B424A1">
        <w:t>VAR</w:t>
      </w:r>
      <w:r>
        <w:t xml:space="preserve"> value</w:t>
      </w:r>
      <w:r w:rsidRPr="00B424A1">
        <w:t xml:space="preserve"> &gt; 1.1 would indicate that the individual DASS scale in question explains a meaningful amount of true scale variance beyond the total score, supporting its interpretation (Feinberg &amp; Wainer, 2014).</w:t>
      </w:r>
      <w:r w:rsidR="00274C9C" w:rsidRPr="00996F86">
        <w:br w:type="page"/>
      </w:r>
    </w:p>
    <w:p w14:paraId="41051939" w14:textId="2D9EA034" w:rsidR="00F163A7" w:rsidRPr="00B424A1" w:rsidRDefault="00F163A7" w:rsidP="00F163A7">
      <w:pPr>
        <w:spacing w:line="276" w:lineRule="auto"/>
        <w:ind w:firstLine="0"/>
        <w:rPr>
          <w:rFonts w:ascii="Times New Roman" w:hAnsi="Times New Roman" w:cs="Times New Roman"/>
          <w:b/>
          <w:bCs/>
        </w:rPr>
      </w:pPr>
      <w:r w:rsidRPr="00B424A1">
        <w:rPr>
          <w:rFonts w:ascii="Times New Roman" w:hAnsi="Times New Roman" w:cs="Times New Roman"/>
          <w:b/>
          <w:bCs/>
        </w:rPr>
        <w:lastRenderedPageBreak/>
        <w:t>Table 1</w:t>
      </w:r>
    </w:p>
    <w:p w14:paraId="7BA56743" w14:textId="77777777" w:rsidR="00F163A7" w:rsidRPr="00B424A1" w:rsidRDefault="00F163A7" w:rsidP="00F163A7">
      <w:pPr>
        <w:spacing w:line="276" w:lineRule="auto"/>
        <w:ind w:firstLine="0"/>
        <w:rPr>
          <w:rFonts w:ascii="Times New Roman" w:hAnsi="Times New Roman" w:cs="Times New Roman"/>
        </w:rPr>
      </w:pPr>
      <w:r w:rsidRPr="00B424A1">
        <w:rPr>
          <w:rFonts w:ascii="Times New Roman" w:hAnsi="Times New Roman" w:cs="Times New Roman"/>
          <w:i/>
          <w:iCs/>
        </w:rPr>
        <w:t xml:space="preserve">Summary of Bifactor Statistical Indices </w:t>
      </w:r>
    </w:p>
    <w:tbl>
      <w:tblPr>
        <w:tblStyle w:val="APAReport"/>
        <w:tblW w:w="5261" w:type="pct"/>
        <w:tblLook w:val="04A0" w:firstRow="1" w:lastRow="0" w:firstColumn="1" w:lastColumn="0" w:noHBand="0" w:noVBand="1"/>
        <w:tblCaption w:val="Sample 5-column table"/>
      </w:tblPr>
      <w:tblGrid>
        <w:gridCol w:w="2693"/>
        <w:gridCol w:w="3119"/>
        <w:gridCol w:w="3685"/>
      </w:tblGrid>
      <w:tr w:rsidR="00B424A1" w:rsidRPr="00B424A1" w14:paraId="49136BBE" w14:textId="77777777" w:rsidTr="0010532B">
        <w:trPr>
          <w:cnfStyle w:val="100000000000" w:firstRow="1" w:lastRow="0" w:firstColumn="0" w:lastColumn="0" w:oddVBand="0" w:evenVBand="0" w:oddHBand="0" w:evenHBand="0" w:firstRowFirstColumn="0" w:firstRowLastColumn="0" w:lastRowFirstColumn="0" w:lastRowLastColumn="0"/>
        </w:trPr>
        <w:tc>
          <w:tcPr>
            <w:tcW w:w="1418" w:type="pct"/>
          </w:tcPr>
          <w:p w14:paraId="13776117" w14:textId="77777777" w:rsidR="00F163A7" w:rsidRPr="00B424A1" w:rsidRDefault="00F163A7" w:rsidP="0010532B">
            <w:pPr>
              <w:pStyle w:val="NoSpacing"/>
              <w:spacing w:line="276" w:lineRule="auto"/>
            </w:pPr>
            <w:r w:rsidRPr="00B424A1">
              <w:rPr>
                <w:rFonts w:ascii="Times New Roman" w:hAnsi="Times New Roman" w:cs="Times New Roman"/>
              </w:rPr>
              <w:t>Bifactor statistical index</w:t>
            </w:r>
          </w:p>
        </w:tc>
        <w:tc>
          <w:tcPr>
            <w:tcW w:w="1642" w:type="pct"/>
          </w:tcPr>
          <w:p w14:paraId="65D46A9F" w14:textId="77777777" w:rsidR="00F163A7" w:rsidRPr="00B424A1" w:rsidRDefault="00F163A7" w:rsidP="0010532B">
            <w:pPr>
              <w:pStyle w:val="NoSpacing"/>
              <w:spacing w:line="276" w:lineRule="auto"/>
            </w:pPr>
            <w:r w:rsidRPr="00B424A1">
              <w:rPr>
                <w:rFonts w:ascii="Times New Roman" w:hAnsi="Times New Roman" w:cs="Times New Roman"/>
              </w:rPr>
              <w:t>Definition</w:t>
            </w:r>
          </w:p>
        </w:tc>
        <w:tc>
          <w:tcPr>
            <w:tcW w:w="1940" w:type="pct"/>
          </w:tcPr>
          <w:p w14:paraId="210B499A" w14:textId="77777777" w:rsidR="00F163A7" w:rsidRPr="00B424A1" w:rsidRDefault="00F163A7" w:rsidP="0010532B">
            <w:pPr>
              <w:pStyle w:val="NoSpacing"/>
              <w:spacing w:line="276" w:lineRule="auto"/>
            </w:pPr>
            <w:r w:rsidRPr="00B424A1">
              <w:rPr>
                <w:rFonts w:ascii="Times New Roman" w:hAnsi="Times New Roman" w:cs="Times New Roman"/>
              </w:rPr>
              <w:t>Interpretation</w:t>
            </w:r>
          </w:p>
        </w:tc>
      </w:tr>
      <w:tr w:rsidR="00B424A1" w:rsidRPr="00B424A1" w14:paraId="38CAFF5B" w14:textId="77777777" w:rsidTr="0010532B">
        <w:tc>
          <w:tcPr>
            <w:tcW w:w="1418" w:type="pct"/>
            <w:tcBorders>
              <w:top w:val="single" w:sz="12" w:space="0" w:color="auto"/>
              <w:bottom w:val="nil"/>
              <w:right w:val="nil"/>
            </w:tcBorders>
          </w:tcPr>
          <w:p w14:paraId="091926DA" w14:textId="77777777" w:rsidR="00F163A7" w:rsidRPr="00B424A1" w:rsidRDefault="00F163A7" w:rsidP="0010532B">
            <w:pPr>
              <w:pStyle w:val="NoSpacing"/>
              <w:spacing w:line="276" w:lineRule="auto"/>
            </w:pPr>
            <w:r w:rsidRPr="00B424A1">
              <w:rPr>
                <w:rFonts w:ascii="Times New Roman" w:hAnsi="Times New Roman" w:cs="Times New Roman"/>
              </w:rPr>
              <w:t>Coefficient omega hierarchical (</w:t>
            </w:r>
            <w:r w:rsidRPr="00B424A1">
              <w:rPr>
                <w:rFonts w:ascii="Times New Roman" w:eastAsia="MS Gothic" w:hAnsi="Times New Roman" w:cs="Times New Roman"/>
                <w:lang w:eastAsia="en-GB"/>
              </w:rPr>
              <w:t>ω</w:t>
            </w:r>
            <w:r w:rsidRPr="00B424A1">
              <w:rPr>
                <w:rFonts w:ascii="Times New Roman" w:hAnsi="Times New Roman" w:cs="Times New Roman"/>
                <w:i/>
                <w:iCs/>
                <w:position w:val="-2"/>
                <w:vertAlign w:val="subscript"/>
                <w:lang w:eastAsia="en-GB"/>
              </w:rPr>
              <w:t>h</w:t>
            </w:r>
            <w:r w:rsidRPr="00B424A1">
              <w:rPr>
                <w:rFonts w:ascii="Times New Roman" w:hAnsi="Times New Roman" w:cs="Times New Roman"/>
                <w:position w:val="-2"/>
                <w:lang w:eastAsia="en-GB"/>
              </w:rPr>
              <w:t>)</w:t>
            </w:r>
          </w:p>
        </w:tc>
        <w:tc>
          <w:tcPr>
            <w:tcW w:w="1642" w:type="pct"/>
            <w:tcBorders>
              <w:top w:val="single" w:sz="12" w:space="0" w:color="auto"/>
              <w:left w:val="nil"/>
              <w:bottom w:val="nil"/>
              <w:right w:val="nil"/>
            </w:tcBorders>
          </w:tcPr>
          <w:p w14:paraId="24F42FF8" w14:textId="77777777" w:rsidR="00F163A7" w:rsidRPr="00B424A1" w:rsidRDefault="00F163A7" w:rsidP="0010532B">
            <w:pPr>
              <w:spacing w:line="276" w:lineRule="auto"/>
              <w:rPr>
                <w:rFonts w:ascii="Times New Roman" w:hAnsi="Times New Roman" w:cs="Times New Roman"/>
              </w:rPr>
            </w:pPr>
            <w:r w:rsidRPr="00B424A1">
              <w:rPr>
                <w:rFonts w:ascii="Times New Roman" w:hAnsi="Times New Roman" w:cs="Times New Roman"/>
              </w:rPr>
              <w:t xml:space="preserve">Systematic (error-free) variance in total scores attributable to the general factor. </w:t>
            </w:r>
          </w:p>
          <w:p w14:paraId="46E10E77" w14:textId="77777777" w:rsidR="00F163A7" w:rsidRPr="00B424A1" w:rsidRDefault="00F163A7" w:rsidP="0010532B">
            <w:pPr>
              <w:pStyle w:val="NoSpacing"/>
              <w:spacing w:line="276" w:lineRule="auto"/>
            </w:pPr>
          </w:p>
        </w:tc>
        <w:tc>
          <w:tcPr>
            <w:tcW w:w="1940" w:type="pct"/>
            <w:tcBorders>
              <w:top w:val="single" w:sz="12" w:space="0" w:color="auto"/>
              <w:left w:val="nil"/>
              <w:bottom w:val="nil"/>
            </w:tcBorders>
          </w:tcPr>
          <w:p w14:paraId="42F4CF1C" w14:textId="49B1612F" w:rsidR="00F163A7" w:rsidRPr="00B424A1" w:rsidRDefault="00F163A7" w:rsidP="0010532B">
            <w:pPr>
              <w:pStyle w:val="NoSpacing"/>
              <w:spacing w:line="276" w:lineRule="auto"/>
              <w:rPr>
                <w:rFonts w:ascii="Times New Roman" w:hAnsi="Times New Roman" w:cs="Times New Roman"/>
              </w:rPr>
            </w:pPr>
            <w:r w:rsidRPr="00B424A1">
              <w:rPr>
                <w:rFonts w:ascii="Times New Roman" w:eastAsia="MS Gothic" w:hAnsi="Times New Roman" w:cs="Times New Roman"/>
                <w:lang w:eastAsia="en-GB"/>
              </w:rPr>
              <w:t>ω</w:t>
            </w:r>
            <w:r w:rsidRPr="00B424A1">
              <w:rPr>
                <w:rFonts w:cstheme="minorHAnsi"/>
                <w:i/>
                <w:iCs/>
                <w:position w:val="-2"/>
                <w:vertAlign w:val="subscript"/>
                <w:lang w:eastAsia="en-GB"/>
              </w:rPr>
              <w:t xml:space="preserve">h </w:t>
            </w:r>
            <w:r w:rsidRPr="00B424A1">
              <w:rPr>
                <w:rFonts w:ascii="Times New Roman" w:hAnsi="Times New Roman" w:cs="Times New Roman"/>
                <w:i/>
                <w:iCs/>
                <w:position w:val="-2"/>
                <w:lang w:eastAsia="en-GB"/>
              </w:rPr>
              <w:t xml:space="preserve"> </w:t>
            </w:r>
            <w:r w:rsidRPr="00B424A1">
              <w:rPr>
                <w:rFonts w:ascii="Times New Roman" w:hAnsi="Times New Roman" w:cs="Times New Roman"/>
                <w:position w:val="-2"/>
                <w:lang w:eastAsia="en-GB"/>
              </w:rPr>
              <w:t xml:space="preserve">≥ </w:t>
            </w:r>
            <w:r w:rsidRPr="00B424A1">
              <w:rPr>
                <w:rFonts w:cstheme="minorHAnsi"/>
              </w:rPr>
              <w:t xml:space="preserve">.80 </w:t>
            </w:r>
            <w:r w:rsidR="003A02DC" w:rsidRPr="00B424A1">
              <w:rPr>
                <w:rFonts w:cstheme="minorHAnsi"/>
              </w:rPr>
              <w:t>sufficient</w:t>
            </w:r>
            <w:r w:rsidRPr="00B424A1">
              <w:rPr>
                <w:rFonts w:cstheme="minorHAnsi"/>
              </w:rPr>
              <w:t xml:space="preserve"> for reliability of the general factor</w:t>
            </w:r>
            <w:r w:rsidRPr="00B424A1">
              <w:rPr>
                <w:rFonts w:ascii="Times New Roman" w:hAnsi="Times New Roman" w:cs="Times New Roman"/>
              </w:rPr>
              <w:t xml:space="preserve">. </w:t>
            </w:r>
            <w:r w:rsidRPr="00B424A1">
              <w:rPr>
                <w:rFonts w:ascii="Times New Roman" w:eastAsia="MS Gothic" w:hAnsi="Times New Roman" w:cs="Times New Roman"/>
                <w:lang w:eastAsia="en-GB"/>
              </w:rPr>
              <w:t>ω</w:t>
            </w:r>
            <w:r w:rsidRPr="00B424A1">
              <w:rPr>
                <w:rFonts w:ascii="Times New Roman" w:hAnsi="Times New Roman" w:cs="Times New Roman"/>
                <w:i/>
                <w:iCs/>
                <w:position w:val="-2"/>
                <w:vertAlign w:val="subscript"/>
                <w:lang w:eastAsia="en-GB"/>
              </w:rPr>
              <w:t>h</w:t>
            </w:r>
            <w:r w:rsidRPr="00B424A1">
              <w:rPr>
                <w:rFonts w:ascii="Times New Roman" w:hAnsi="Times New Roman" w:cs="Times New Roman"/>
                <w:i/>
                <w:iCs/>
                <w:position w:val="-2"/>
                <w:vertAlign w:val="subscript"/>
              </w:rPr>
              <w:t xml:space="preserve"> </w:t>
            </w:r>
            <w:r w:rsidRPr="00B424A1">
              <w:rPr>
                <w:rFonts w:ascii="Times New Roman" w:hAnsi="Times New Roman" w:cs="Times New Roman"/>
              </w:rPr>
              <w:t xml:space="preserve">&lt; .50 indicates insufficient reliability such that the general factor is not recommended for use in practice </w:t>
            </w:r>
            <w:r w:rsidRPr="00B424A1">
              <w:rPr>
                <w:rFonts w:ascii="Times New Roman" w:hAnsi="Times New Roman" w:cs="Times New Roman"/>
                <w:noProof/>
              </w:rPr>
              <w:t xml:space="preserve">(Reise et al., 2013; </w:t>
            </w:r>
            <w:r w:rsidRPr="00B424A1">
              <w:rPr>
                <w:rStyle w:val="CommentReference"/>
                <w:noProof/>
                <w:kern w:val="24"/>
                <w:sz w:val="24"/>
                <w:szCs w:val="24"/>
              </w:rPr>
              <w:t>McDonald, 1999</w:t>
            </w:r>
            <w:r w:rsidRPr="00B424A1">
              <w:rPr>
                <w:rFonts w:ascii="Times New Roman" w:hAnsi="Times New Roman" w:cs="Times New Roman"/>
                <w:noProof/>
              </w:rPr>
              <w:t>)</w:t>
            </w:r>
            <w:r w:rsidRPr="00B424A1">
              <w:rPr>
                <w:rFonts w:ascii="Times New Roman" w:hAnsi="Times New Roman" w:cs="Times New Roman"/>
              </w:rPr>
              <w:t>.</w:t>
            </w:r>
          </w:p>
          <w:p w14:paraId="44BA43E2" w14:textId="77777777" w:rsidR="00F163A7" w:rsidRPr="00B424A1" w:rsidRDefault="00F163A7" w:rsidP="0010532B">
            <w:pPr>
              <w:pStyle w:val="NoSpacing"/>
              <w:spacing w:line="276" w:lineRule="auto"/>
            </w:pPr>
          </w:p>
        </w:tc>
      </w:tr>
      <w:tr w:rsidR="00B424A1" w:rsidRPr="00B424A1" w14:paraId="16096995" w14:textId="77777777" w:rsidTr="0010532B">
        <w:tc>
          <w:tcPr>
            <w:tcW w:w="1418" w:type="pct"/>
            <w:tcBorders>
              <w:top w:val="nil"/>
              <w:bottom w:val="nil"/>
              <w:right w:val="nil"/>
            </w:tcBorders>
          </w:tcPr>
          <w:p w14:paraId="5EB3201F" w14:textId="77777777" w:rsidR="00F163A7" w:rsidRPr="00B424A1" w:rsidRDefault="00F163A7" w:rsidP="0010532B">
            <w:pPr>
              <w:pStyle w:val="NoSpacing"/>
              <w:spacing w:line="276" w:lineRule="auto"/>
            </w:pPr>
            <w:r w:rsidRPr="00B424A1">
              <w:rPr>
                <w:rFonts w:ascii="Times New Roman" w:hAnsi="Times New Roman" w:cs="Times New Roman"/>
              </w:rPr>
              <w:t>Coefficient omega hierarchical subscale (</w:t>
            </w:r>
            <w:r w:rsidRPr="00B424A1">
              <w:rPr>
                <w:rFonts w:ascii="Times New Roman" w:eastAsia="MS Gothic" w:hAnsi="Times New Roman" w:cs="Times New Roman"/>
                <w:lang w:eastAsia="en-GB"/>
              </w:rPr>
              <w:t>ω</w:t>
            </w:r>
            <w:r w:rsidRPr="00B424A1">
              <w:rPr>
                <w:rFonts w:ascii="Times New Roman" w:hAnsi="Times New Roman" w:cs="Times New Roman"/>
                <w:i/>
                <w:iCs/>
                <w:position w:val="-2"/>
                <w:vertAlign w:val="subscript"/>
                <w:lang w:eastAsia="en-GB"/>
              </w:rPr>
              <w:t>hs</w:t>
            </w:r>
            <w:r w:rsidRPr="00B424A1">
              <w:rPr>
                <w:rFonts w:ascii="Times New Roman" w:hAnsi="Times New Roman" w:cs="Times New Roman"/>
                <w:position w:val="-2"/>
                <w:lang w:eastAsia="en-GB"/>
              </w:rPr>
              <w:t>)</w:t>
            </w:r>
          </w:p>
        </w:tc>
        <w:tc>
          <w:tcPr>
            <w:tcW w:w="1642" w:type="pct"/>
            <w:tcBorders>
              <w:top w:val="nil"/>
              <w:left w:val="nil"/>
              <w:bottom w:val="nil"/>
              <w:right w:val="nil"/>
            </w:tcBorders>
          </w:tcPr>
          <w:p w14:paraId="18E42BD7" w14:textId="77777777" w:rsidR="00F163A7" w:rsidRPr="00B424A1" w:rsidRDefault="00F163A7" w:rsidP="0010532B">
            <w:pPr>
              <w:spacing w:line="276" w:lineRule="auto"/>
              <w:rPr>
                <w:rFonts w:ascii="Times New Roman" w:hAnsi="Times New Roman" w:cs="Times New Roman"/>
              </w:rPr>
            </w:pPr>
            <w:r w:rsidRPr="00B424A1">
              <w:rPr>
                <w:rFonts w:ascii="Times New Roman" w:hAnsi="Times New Roman" w:cs="Times New Roman"/>
              </w:rPr>
              <w:t xml:space="preserve">Systematic (error-free) variance in subscale scores uniquely associated with the specific factor, when holding variance attributed to the general factor constant. </w:t>
            </w:r>
          </w:p>
        </w:tc>
        <w:tc>
          <w:tcPr>
            <w:tcW w:w="1940" w:type="pct"/>
            <w:tcBorders>
              <w:top w:val="nil"/>
              <w:left w:val="nil"/>
              <w:bottom w:val="nil"/>
            </w:tcBorders>
          </w:tcPr>
          <w:p w14:paraId="0472A423" w14:textId="17BBE1CF" w:rsidR="00F163A7" w:rsidRPr="00B424A1" w:rsidRDefault="00F163A7" w:rsidP="0010532B">
            <w:pPr>
              <w:pStyle w:val="NoSpacing"/>
              <w:spacing w:line="276" w:lineRule="auto"/>
              <w:rPr>
                <w:rFonts w:ascii="Times New Roman" w:hAnsi="Times New Roman" w:cs="Times New Roman"/>
              </w:rPr>
            </w:pPr>
            <w:r w:rsidRPr="00B424A1">
              <w:rPr>
                <w:rFonts w:ascii="Times New Roman" w:eastAsia="MS Gothic" w:hAnsi="Times New Roman" w:cs="Times New Roman"/>
                <w:lang w:eastAsia="en-GB"/>
              </w:rPr>
              <w:t>ω</w:t>
            </w:r>
            <w:r w:rsidRPr="00B424A1">
              <w:rPr>
                <w:rFonts w:ascii="Times New Roman" w:hAnsi="Times New Roman" w:cs="Times New Roman"/>
                <w:i/>
                <w:iCs/>
                <w:position w:val="-2"/>
                <w:vertAlign w:val="subscript"/>
                <w:lang w:eastAsia="en-GB"/>
              </w:rPr>
              <w:t>hs</w:t>
            </w:r>
            <w:r w:rsidRPr="00B424A1">
              <w:rPr>
                <w:rFonts w:ascii="Times New Roman" w:hAnsi="Times New Roman" w:cs="Times New Roman"/>
                <w:i/>
                <w:iCs/>
                <w:position w:val="-2"/>
                <w:lang w:eastAsia="en-GB"/>
              </w:rPr>
              <w:t xml:space="preserve"> </w:t>
            </w:r>
            <w:r w:rsidRPr="00B424A1">
              <w:rPr>
                <w:rFonts w:ascii="Times New Roman" w:hAnsi="Times New Roman" w:cs="Times New Roman"/>
                <w:position w:val="-2"/>
                <w:lang w:eastAsia="en-GB"/>
              </w:rPr>
              <w:t>≥</w:t>
            </w:r>
            <w:r w:rsidRPr="00B424A1">
              <w:rPr>
                <w:rFonts w:ascii="Times New Roman" w:hAnsi="Times New Roman" w:cs="Times New Roman"/>
                <w:i/>
              </w:rPr>
              <w:t xml:space="preserve"> </w:t>
            </w:r>
            <w:r w:rsidRPr="00B424A1">
              <w:rPr>
                <w:rFonts w:ascii="Times New Roman" w:hAnsi="Times New Roman" w:cs="Times New Roman"/>
                <w:position w:val="-2"/>
                <w:lang w:eastAsia="en-GB"/>
              </w:rPr>
              <w:t xml:space="preserve">.75 </w:t>
            </w:r>
            <w:r w:rsidR="003A02DC" w:rsidRPr="00B424A1">
              <w:rPr>
                <w:rFonts w:ascii="Times New Roman" w:hAnsi="Times New Roman" w:cs="Times New Roman"/>
                <w:position w:val="-2"/>
                <w:lang w:eastAsia="en-GB"/>
              </w:rPr>
              <w:t>sufficient</w:t>
            </w:r>
            <w:r w:rsidRPr="00B424A1">
              <w:rPr>
                <w:rFonts w:ascii="Times New Roman" w:hAnsi="Times New Roman" w:cs="Times New Roman"/>
                <w:position w:val="-2"/>
                <w:lang w:eastAsia="en-GB"/>
              </w:rPr>
              <w:t xml:space="preserve"> for reliability of the specific factor</w:t>
            </w:r>
            <w:r w:rsidRPr="00B424A1">
              <w:rPr>
                <w:rFonts w:ascii="Times New Roman" w:eastAsia="MS Gothic" w:hAnsi="Times New Roman" w:cs="Times New Roman"/>
                <w:i/>
                <w:iCs/>
                <w:lang w:eastAsia="en-GB"/>
              </w:rPr>
              <w:t xml:space="preserve">. </w:t>
            </w:r>
            <w:r w:rsidRPr="00B424A1">
              <w:rPr>
                <w:rFonts w:ascii="Times New Roman" w:eastAsia="MS Gothic" w:hAnsi="Times New Roman" w:cs="Times New Roman"/>
                <w:lang w:eastAsia="en-GB"/>
              </w:rPr>
              <w:t>ω</w:t>
            </w:r>
            <w:r w:rsidRPr="00B424A1">
              <w:rPr>
                <w:rFonts w:ascii="Times New Roman" w:hAnsi="Times New Roman" w:cs="Times New Roman"/>
                <w:i/>
                <w:iCs/>
                <w:position w:val="-2"/>
                <w:vertAlign w:val="subscript"/>
                <w:lang w:eastAsia="en-GB"/>
              </w:rPr>
              <w:t>hs</w:t>
            </w:r>
            <w:r w:rsidRPr="00B424A1">
              <w:rPr>
                <w:rFonts w:ascii="Times New Roman" w:hAnsi="Times New Roman" w:cs="Times New Roman"/>
                <w:i/>
                <w:iCs/>
                <w:position w:val="-2"/>
                <w:vertAlign w:val="subscript"/>
              </w:rPr>
              <w:t xml:space="preserve"> </w:t>
            </w:r>
            <w:r w:rsidRPr="00B424A1">
              <w:rPr>
                <w:rFonts w:ascii="Times New Roman" w:hAnsi="Times New Roman" w:cs="Times New Roman"/>
              </w:rPr>
              <w:t xml:space="preserve">&lt; .50 indicates insufficient reliability such that the specific factor is not recommended for use in practice </w:t>
            </w:r>
            <w:r w:rsidRPr="00B424A1">
              <w:rPr>
                <w:rFonts w:ascii="Times New Roman" w:hAnsi="Times New Roman" w:cs="Times New Roman"/>
                <w:noProof/>
              </w:rPr>
              <w:t xml:space="preserve">(Reise et al., 2013; </w:t>
            </w:r>
            <w:r w:rsidRPr="00B424A1">
              <w:rPr>
                <w:rStyle w:val="CommentReference"/>
                <w:noProof/>
                <w:kern w:val="24"/>
                <w:sz w:val="24"/>
                <w:szCs w:val="24"/>
              </w:rPr>
              <w:t>McDonald, 1999</w:t>
            </w:r>
            <w:r w:rsidRPr="00B424A1">
              <w:rPr>
                <w:rFonts w:ascii="Times New Roman" w:hAnsi="Times New Roman" w:cs="Times New Roman"/>
                <w:noProof/>
              </w:rPr>
              <w:t>)</w:t>
            </w:r>
            <w:r w:rsidRPr="00B424A1">
              <w:rPr>
                <w:rFonts w:ascii="Times New Roman" w:hAnsi="Times New Roman" w:cs="Times New Roman"/>
              </w:rPr>
              <w:t>.</w:t>
            </w:r>
          </w:p>
          <w:p w14:paraId="3D0F7BB3" w14:textId="77777777" w:rsidR="00F163A7" w:rsidRPr="00B424A1" w:rsidRDefault="00F163A7" w:rsidP="0010532B">
            <w:pPr>
              <w:pStyle w:val="NoSpacing"/>
              <w:spacing w:line="276" w:lineRule="auto"/>
            </w:pPr>
          </w:p>
        </w:tc>
      </w:tr>
      <w:tr w:rsidR="00B424A1" w:rsidRPr="00B424A1" w14:paraId="25C703CC" w14:textId="77777777" w:rsidTr="0010532B">
        <w:tc>
          <w:tcPr>
            <w:tcW w:w="1418" w:type="pct"/>
            <w:tcBorders>
              <w:top w:val="nil"/>
              <w:left w:val="nil"/>
              <w:bottom w:val="nil"/>
              <w:right w:val="nil"/>
            </w:tcBorders>
          </w:tcPr>
          <w:p w14:paraId="02242DA8" w14:textId="77777777" w:rsidR="00F163A7" w:rsidRPr="00B424A1" w:rsidRDefault="00F163A7" w:rsidP="0010532B">
            <w:pPr>
              <w:pStyle w:val="NoSpacing"/>
              <w:spacing w:line="276" w:lineRule="auto"/>
            </w:pPr>
            <w:r w:rsidRPr="00B424A1">
              <w:rPr>
                <w:rFonts w:ascii="Times New Roman" w:hAnsi="Times New Roman" w:cs="Times New Roman"/>
              </w:rPr>
              <w:t>Explained common variance (ECV)</w:t>
            </w:r>
          </w:p>
        </w:tc>
        <w:tc>
          <w:tcPr>
            <w:tcW w:w="1642" w:type="pct"/>
            <w:tcBorders>
              <w:top w:val="nil"/>
              <w:left w:val="nil"/>
              <w:bottom w:val="nil"/>
              <w:right w:val="nil"/>
            </w:tcBorders>
          </w:tcPr>
          <w:p w14:paraId="40F8462C" w14:textId="77777777" w:rsidR="00F163A7" w:rsidRPr="00B424A1" w:rsidRDefault="00F163A7" w:rsidP="0010532B">
            <w:pPr>
              <w:spacing w:line="276" w:lineRule="auto"/>
              <w:rPr>
                <w:rFonts w:ascii="Times New Roman" w:hAnsi="Times New Roman" w:cs="Times New Roman"/>
              </w:rPr>
            </w:pPr>
            <w:r w:rsidRPr="00B424A1">
              <w:rPr>
                <w:rFonts w:ascii="Times New Roman" w:hAnsi="Times New Roman" w:cs="Times New Roman"/>
              </w:rPr>
              <w:t>Proportion of common variance across all items that is explained by the general factor.</w:t>
            </w:r>
          </w:p>
          <w:p w14:paraId="0FA8CC0C" w14:textId="77777777" w:rsidR="00F163A7" w:rsidRPr="00B424A1" w:rsidRDefault="00F163A7" w:rsidP="0010532B">
            <w:pPr>
              <w:spacing w:line="276" w:lineRule="auto"/>
              <w:rPr>
                <w:rFonts w:ascii="Times New Roman" w:hAnsi="Times New Roman" w:cs="Times New Roman"/>
              </w:rPr>
            </w:pPr>
          </w:p>
        </w:tc>
        <w:tc>
          <w:tcPr>
            <w:tcW w:w="1940" w:type="pct"/>
            <w:tcBorders>
              <w:top w:val="nil"/>
              <w:left w:val="nil"/>
              <w:bottom w:val="nil"/>
              <w:right w:val="nil"/>
            </w:tcBorders>
          </w:tcPr>
          <w:p w14:paraId="59A8AC78" w14:textId="2EF91403" w:rsidR="00F163A7" w:rsidRPr="00B424A1" w:rsidRDefault="00F163A7" w:rsidP="0010532B">
            <w:pPr>
              <w:spacing w:line="276" w:lineRule="auto"/>
              <w:rPr>
                <w:rFonts w:ascii="Times New Roman" w:hAnsi="Times New Roman" w:cs="Times New Roman"/>
              </w:rPr>
            </w:pPr>
            <w:r w:rsidRPr="00B424A1">
              <w:rPr>
                <w:rFonts w:ascii="Times New Roman" w:hAnsi="Times New Roman" w:cs="Times New Roman"/>
              </w:rPr>
              <w:t>ECV</w:t>
            </w:r>
            <w:r w:rsidRPr="00B424A1">
              <w:rPr>
                <w:rFonts w:ascii="Times New Roman" w:hAnsi="Times New Roman" w:cs="Times New Roman"/>
                <w:i/>
                <w:iCs/>
                <w:position w:val="-2"/>
                <w:lang w:eastAsia="en-GB"/>
              </w:rPr>
              <w:t xml:space="preserve"> </w:t>
            </w:r>
            <w:r w:rsidRPr="00B424A1">
              <w:rPr>
                <w:rFonts w:ascii="Times New Roman" w:hAnsi="Times New Roman" w:cs="Times New Roman"/>
                <w:position w:val="-2"/>
                <w:lang w:eastAsia="en-GB"/>
              </w:rPr>
              <w:t>≥</w:t>
            </w:r>
            <m:oMath>
              <m:r>
                <w:rPr>
                  <w:rFonts w:ascii="Cambria Math" w:hAnsi="Cambria Math" w:cstheme="minorHAnsi"/>
                </w:rPr>
                <m:t xml:space="preserve"> </m:t>
              </m:r>
            </m:oMath>
            <w:r w:rsidRPr="00B424A1">
              <w:rPr>
                <w:rFonts w:cstheme="minorHAnsi"/>
              </w:rPr>
              <w:t xml:space="preserve">.70 </w:t>
            </w:r>
            <w:r w:rsidR="003F258E" w:rsidRPr="00B424A1">
              <w:rPr>
                <w:rFonts w:ascii="Times New Roman" w:hAnsi="Times New Roman" w:cs="Times New Roman"/>
              </w:rPr>
              <w:t>sufficient</w:t>
            </w:r>
            <w:r w:rsidRPr="00B424A1">
              <w:rPr>
                <w:rFonts w:ascii="Times New Roman" w:hAnsi="Times New Roman" w:cs="Times New Roman"/>
              </w:rPr>
              <w:t xml:space="preserve"> for unidimensionality (Stucky &amp; Edelen</w:t>
            </w:r>
            <w:r w:rsidRPr="00B424A1">
              <w:t>, 2014)</w:t>
            </w:r>
          </w:p>
          <w:p w14:paraId="36ED55B4" w14:textId="77777777" w:rsidR="00F163A7" w:rsidRPr="00B424A1" w:rsidRDefault="00F163A7" w:rsidP="0010532B">
            <w:pPr>
              <w:spacing w:line="276" w:lineRule="auto"/>
            </w:pPr>
          </w:p>
          <w:p w14:paraId="49FDB9A0" w14:textId="77777777" w:rsidR="00F163A7" w:rsidRPr="00B424A1" w:rsidRDefault="00F163A7" w:rsidP="0010532B">
            <w:pPr>
              <w:spacing w:line="276" w:lineRule="auto"/>
            </w:pPr>
          </w:p>
        </w:tc>
      </w:tr>
      <w:tr w:rsidR="00B424A1" w:rsidRPr="00B424A1" w14:paraId="6346CDB5" w14:textId="77777777" w:rsidTr="0010532B">
        <w:tc>
          <w:tcPr>
            <w:tcW w:w="1418" w:type="pct"/>
            <w:tcBorders>
              <w:top w:val="nil"/>
              <w:left w:val="nil"/>
              <w:bottom w:val="nil"/>
              <w:right w:val="nil"/>
            </w:tcBorders>
          </w:tcPr>
          <w:p w14:paraId="5EE96653" w14:textId="77777777" w:rsidR="00F163A7" w:rsidRPr="00B424A1" w:rsidRDefault="00F163A7" w:rsidP="0010532B">
            <w:pPr>
              <w:pStyle w:val="NoSpacing"/>
              <w:spacing w:line="276" w:lineRule="auto"/>
              <w:rPr>
                <w:rFonts w:ascii="Times New Roman" w:hAnsi="Times New Roman" w:cs="Times New Roman"/>
              </w:rPr>
            </w:pPr>
            <w:r w:rsidRPr="00B424A1">
              <w:rPr>
                <w:rFonts w:ascii="Times New Roman" w:hAnsi="Times New Roman" w:cs="Times New Roman"/>
              </w:rPr>
              <w:t>Explained common variance subscale (S-ECV)</w:t>
            </w:r>
          </w:p>
          <w:p w14:paraId="3B07675A" w14:textId="77777777" w:rsidR="00F163A7" w:rsidRPr="00B424A1" w:rsidRDefault="00F163A7" w:rsidP="0010532B">
            <w:pPr>
              <w:pStyle w:val="NoSpacing"/>
              <w:spacing w:line="276" w:lineRule="auto"/>
            </w:pPr>
          </w:p>
        </w:tc>
        <w:tc>
          <w:tcPr>
            <w:tcW w:w="1642" w:type="pct"/>
            <w:tcBorders>
              <w:top w:val="nil"/>
              <w:left w:val="nil"/>
              <w:bottom w:val="nil"/>
              <w:right w:val="nil"/>
            </w:tcBorders>
          </w:tcPr>
          <w:p w14:paraId="2614C26F" w14:textId="77777777" w:rsidR="00F163A7" w:rsidRPr="00B424A1" w:rsidRDefault="00F163A7" w:rsidP="0010532B">
            <w:pPr>
              <w:spacing w:line="276" w:lineRule="auto"/>
              <w:rPr>
                <w:rFonts w:ascii="Times New Roman" w:hAnsi="Times New Roman" w:cs="Times New Roman"/>
              </w:rPr>
            </w:pPr>
            <w:r w:rsidRPr="00B424A1">
              <w:rPr>
                <w:rFonts w:ascii="Times New Roman" w:hAnsi="Times New Roman" w:cs="Times New Roman"/>
              </w:rPr>
              <w:t>Proportion of common variance across items of a subscale explained by the specific factor, after removing variance due to the general factor.</w:t>
            </w:r>
          </w:p>
          <w:p w14:paraId="0573F4E5" w14:textId="77777777" w:rsidR="00F163A7" w:rsidRPr="00B424A1" w:rsidRDefault="00F163A7" w:rsidP="0010532B">
            <w:pPr>
              <w:spacing w:line="276" w:lineRule="auto"/>
              <w:rPr>
                <w:rFonts w:ascii="Times New Roman" w:hAnsi="Times New Roman" w:cs="Times New Roman"/>
              </w:rPr>
            </w:pPr>
            <w:r w:rsidRPr="00B424A1">
              <w:rPr>
                <w:rFonts w:ascii="Times New Roman" w:hAnsi="Times New Roman" w:cs="Times New Roman"/>
              </w:rPr>
              <w:t xml:space="preserve"> </w:t>
            </w:r>
          </w:p>
        </w:tc>
        <w:tc>
          <w:tcPr>
            <w:tcW w:w="1940" w:type="pct"/>
            <w:tcBorders>
              <w:top w:val="nil"/>
              <w:left w:val="nil"/>
              <w:bottom w:val="nil"/>
              <w:right w:val="nil"/>
            </w:tcBorders>
          </w:tcPr>
          <w:p w14:paraId="4C869D21" w14:textId="77777777" w:rsidR="00F163A7" w:rsidRPr="00B424A1" w:rsidRDefault="00F163A7" w:rsidP="0010532B">
            <w:pPr>
              <w:spacing w:line="276" w:lineRule="auto"/>
            </w:pPr>
            <w:r w:rsidRPr="00B424A1">
              <w:rPr>
                <w:rFonts w:ascii="Times New Roman" w:hAnsi="Times New Roman" w:cs="Times New Roman"/>
              </w:rPr>
              <w:t xml:space="preserve">S-ECV </w:t>
            </w:r>
            <w:r w:rsidRPr="00B424A1">
              <w:rPr>
                <w:rFonts w:ascii="Times New Roman" w:hAnsi="Times New Roman" w:cs="Times New Roman"/>
                <w:position w:val="-2"/>
                <w:lang w:eastAsia="en-GB"/>
              </w:rPr>
              <w:t>≥</w:t>
            </w:r>
            <w:r w:rsidRPr="00B424A1">
              <w:rPr>
                <w:rFonts w:ascii="Times New Roman" w:hAnsi="Times New Roman" w:cs="Times New Roman"/>
                <w:i/>
              </w:rPr>
              <w:t xml:space="preserve"> </w:t>
            </w:r>
            <w:r w:rsidRPr="00B424A1">
              <w:rPr>
                <w:rFonts w:ascii="Times New Roman" w:hAnsi="Times New Roman" w:cs="Times New Roman"/>
              </w:rPr>
              <w:t xml:space="preserve">.70 signifies the uniqueness of a specific factor above and beyond the general factor </w:t>
            </w:r>
            <w:r w:rsidRPr="00B424A1">
              <w:rPr>
                <w:rFonts w:ascii="Times New Roman" w:hAnsi="Times New Roman" w:cs="Times New Roman"/>
                <w:noProof/>
              </w:rPr>
              <w:t>(Forbes et al., 2021)</w:t>
            </w:r>
          </w:p>
        </w:tc>
      </w:tr>
      <w:tr w:rsidR="00B424A1" w:rsidRPr="00B424A1" w14:paraId="401AC247" w14:textId="77777777" w:rsidTr="0010532B">
        <w:tc>
          <w:tcPr>
            <w:tcW w:w="1418" w:type="pct"/>
            <w:tcBorders>
              <w:top w:val="nil"/>
              <w:left w:val="nil"/>
              <w:bottom w:val="nil"/>
              <w:right w:val="nil"/>
            </w:tcBorders>
          </w:tcPr>
          <w:p w14:paraId="2E4E86FA" w14:textId="77777777" w:rsidR="00F163A7" w:rsidRPr="00B424A1" w:rsidRDefault="00F163A7" w:rsidP="0010532B">
            <w:pPr>
              <w:pStyle w:val="NoSpacing"/>
              <w:spacing w:line="276" w:lineRule="auto"/>
              <w:rPr>
                <w:rFonts w:ascii="Times New Roman" w:hAnsi="Times New Roman" w:cs="Times New Roman"/>
              </w:rPr>
            </w:pPr>
            <w:r w:rsidRPr="00B424A1">
              <w:rPr>
                <w:rFonts w:ascii="Times New Roman" w:hAnsi="Times New Roman" w:cs="Times New Roman"/>
              </w:rPr>
              <w:t>Percentage uncontaminated correlations (PUC)</w:t>
            </w:r>
          </w:p>
          <w:p w14:paraId="159CDFB8" w14:textId="77777777" w:rsidR="00F163A7" w:rsidRPr="00B424A1" w:rsidRDefault="00F163A7" w:rsidP="0010532B">
            <w:pPr>
              <w:pStyle w:val="NoSpacing"/>
              <w:spacing w:line="276" w:lineRule="auto"/>
            </w:pPr>
          </w:p>
        </w:tc>
        <w:tc>
          <w:tcPr>
            <w:tcW w:w="1642" w:type="pct"/>
            <w:tcBorders>
              <w:top w:val="nil"/>
              <w:left w:val="nil"/>
              <w:bottom w:val="nil"/>
              <w:right w:val="nil"/>
            </w:tcBorders>
          </w:tcPr>
          <w:p w14:paraId="3E3F407A" w14:textId="77777777" w:rsidR="00F163A7" w:rsidRPr="00B424A1" w:rsidRDefault="00F163A7" w:rsidP="0010532B">
            <w:pPr>
              <w:spacing w:line="276" w:lineRule="auto"/>
              <w:rPr>
                <w:rFonts w:ascii="Times New Roman" w:hAnsi="Times New Roman" w:cs="Times New Roman"/>
              </w:rPr>
            </w:pPr>
            <w:r w:rsidRPr="00B424A1">
              <w:rPr>
                <w:rFonts w:ascii="Times New Roman" w:hAnsi="Times New Roman" w:cs="Times New Roman"/>
              </w:rPr>
              <w:t xml:space="preserve">Proportion of correlations between items attributable to the general factor. </w:t>
            </w:r>
          </w:p>
          <w:p w14:paraId="1B996FB9" w14:textId="77777777" w:rsidR="00F163A7" w:rsidRPr="00B424A1" w:rsidRDefault="00F163A7" w:rsidP="0010532B">
            <w:pPr>
              <w:spacing w:line="276" w:lineRule="auto"/>
              <w:rPr>
                <w:rFonts w:ascii="Times New Roman" w:hAnsi="Times New Roman" w:cs="Times New Roman"/>
              </w:rPr>
            </w:pPr>
          </w:p>
        </w:tc>
        <w:tc>
          <w:tcPr>
            <w:tcW w:w="1940" w:type="pct"/>
            <w:tcBorders>
              <w:top w:val="nil"/>
              <w:left w:val="nil"/>
              <w:bottom w:val="nil"/>
              <w:right w:val="nil"/>
            </w:tcBorders>
          </w:tcPr>
          <w:p w14:paraId="685FD928" w14:textId="24817AFA" w:rsidR="00F163A7" w:rsidRPr="00B424A1" w:rsidRDefault="00F163A7" w:rsidP="0010532B">
            <w:pPr>
              <w:pStyle w:val="NoSpacing"/>
              <w:spacing w:line="276" w:lineRule="auto"/>
            </w:pPr>
            <w:r w:rsidRPr="00B424A1">
              <w:rPr>
                <w:rFonts w:ascii="Times New Roman" w:hAnsi="Times New Roman" w:cs="Times New Roman"/>
              </w:rPr>
              <w:t>PUC</w:t>
            </w:r>
            <w:r w:rsidRPr="00B424A1">
              <w:rPr>
                <w:rFonts w:ascii="Times New Roman" w:hAnsi="Times New Roman" w:cs="Times New Roman"/>
                <w:i/>
                <w:iCs/>
                <w:position w:val="-2"/>
                <w:lang w:eastAsia="en-GB"/>
              </w:rPr>
              <w:t xml:space="preserve"> </w:t>
            </w:r>
            <w:r w:rsidRPr="00B424A1">
              <w:rPr>
                <w:rFonts w:ascii="Times New Roman" w:hAnsi="Times New Roman" w:cs="Times New Roman"/>
                <w:position w:val="-2"/>
                <w:lang w:eastAsia="en-GB"/>
              </w:rPr>
              <w:t>≥</w:t>
            </w:r>
            <w:r w:rsidRPr="00B424A1">
              <w:rPr>
                <w:rFonts w:cstheme="minorHAnsi"/>
              </w:rPr>
              <w:t xml:space="preserve"> </w:t>
            </w:r>
            <w:r w:rsidRPr="00B424A1">
              <w:rPr>
                <w:rFonts w:ascii="Times New Roman" w:hAnsi="Times New Roman" w:cs="Times New Roman"/>
              </w:rPr>
              <w:t xml:space="preserve">.70 </w:t>
            </w:r>
            <w:r w:rsidR="003A02DC" w:rsidRPr="00B424A1">
              <w:rPr>
                <w:rFonts w:ascii="Times New Roman" w:hAnsi="Times New Roman" w:cs="Times New Roman"/>
              </w:rPr>
              <w:t>sufficient</w:t>
            </w:r>
            <w:r w:rsidRPr="00B424A1">
              <w:rPr>
                <w:rFonts w:ascii="Times New Roman" w:hAnsi="Times New Roman" w:cs="Times New Roman"/>
              </w:rPr>
              <w:t xml:space="preserve"> for unidimensionality </w:t>
            </w:r>
            <w:r w:rsidRPr="00B424A1">
              <w:rPr>
                <w:rFonts w:ascii="Times New Roman" w:hAnsi="Times New Roman" w:cs="Times New Roman"/>
                <w:noProof/>
              </w:rPr>
              <w:t>(Forbes et al., 2021)</w:t>
            </w:r>
            <w:r w:rsidRPr="00B424A1">
              <w:rPr>
                <w:rFonts w:ascii="Times New Roman" w:hAnsi="Times New Roman" w:cs="Times New Roman"/>
              </w:rPr>
              <w:t>.</w:t>
            </w:r>
            <w:r w:rsidRPr="00B424A1">
              <w:rPr>
                <w:rFonts w:ascii="Times New Roman" w:hAnsi="Times New Roman" w:cs="Times New Roman"/>
              </w:rPr>
              <w:br/>
            </w:r>
          </w:p>
        </w:tc>
      </w:tr>
      <w:tr w:rsidR="00B424A1" w:rsidRPr="00B424A1" w14:paraId="2E87CA35" w14:textId="77777777" w:rsidTr="0010532B">
        <w:tc>
          <w:tcPr>
            <w:tcW w:w="1418" w:type="pct"/>
            <w:tcBorders>
              <w:top w:val="nil"/>
              <w:bottom w:val="single" w:sz="12" w:space="0" w:color="auto"/>
              <w:right w:val="nil"/>
            </w:tcBorders>
          </w:tcPr>
          <w:p w14:paraId="5D9BE31A" w14:textId="77777777" w:rsidR="00F163A7" w:rsidRPr="00B424A1" w:rsidRDefault="00F163A7" w:rsidP="0010532B">
            <w:pPr>
              <w:pStyle w:val="NoSpacing"/>
              <w:spacing w:line="276" w:lineRule="auto"/>
            </w:pPr>
            <w:r w:rsidRPr="00B424A1">
              <w:rPr>
                <w:rFonts w:ascii="Times New Roman" w:hAnsi="Times New Roman" w:cs="Times New Roman"/>
              </w:rPr>
              <w:t>Average parameter bias (APB)</w:t>
            </w:r>
          </w:p>
        </w:tc>
        <w:tc>
          <w:tcPr>
            <w:tcW w:w="1642" w:type="pct"/>
            <w:tcBorders>
              <w:top w:val="nil"/>
              <w:left w:val="nil"/>
              <w:bottom w:val="single" w:sz="12" w:space="0" w:color="auto"/>
              <w:right w:val="nil"/>
            </w:tcBorders>
          </w:tcPr>
          <w:p w14:paraId="406436F6" w14:textId="77777777" w:rsidR="00F163A7" w:rsidRPr="00B424A1" w:rsidRDefault="00F163A7" w:rsidP="0010532B">
            <w:pPr>
              <w:pStyle w:val="NoSpacing"/>
              <w:spacing w:line="276" w:lineRule="auto"/>
            </w:pPr>
            <w:r w:rsidRPr="00B424A1">
              <w:rPr>
                <w:rFonts w:ascii="Times New Roman" w:hAnsi="Times New Roman" w:cs="Times New Roman"/>
              </w:rPr>
              <w:t>Proportional difference in item loadings on the general factor between the unidimensional model (not containing the specific factors) and the bifactor model (containing the specific factors).</w:t>
            </w:r>
          </w:p>
        </w:tc>
        <w:tc>
          <w:tcPr>
            <w:tcW w:w="1940" w:type="pct"/>
            <w:tcBorders>
              <w:top w:val="nil"/>
              <w:left w:val="nil"/>
              <w:bottom w:val="single" w:sz="12" w:space="0" w:color="auto"/>
            </w:tcBorders>
          </w:tcPr>
          <w:p w14:paraId="5F9D3F07" w14:textId="2704B3ED" w:rsidR="00F163A7" w:rsidRPr="00B424A1" w:rsidRDefault="00F163A7" w:rsidP="0010532B">
            <w:pPr>
              <w:pStyle w:val="NoSpacing"/>
              <w:spacing w:line="276" w:lineRule="auto"/>
            </w:pPr>
            <w:r w:rsidRPr="00B424A1">
              <w:rPr>
                <w:rFonts w:ascii="Times New Roman" w:hAnsi="Times New Roman" w:cs="Times New Roman"/>
              </w:rPr>
              <w:t xml:space="preserve">ARPB &lt; .10 </w:t>
            </w:r>
            <w:r w:rsidR="003A02DC" w:rsidRPr="00B424A1">
              <w:rPr>
                <w:rFonts w:ascii="Times New Roman" w:hAnsi="Times New Roman" w:cs="Times New Roman"/>
              </w:rPr>
              <w:t>sufficient</w:t>
            </w:r>
            <w:r w:rsidRPr="00B424A1">
              <w:rPr>
                <w:rFonts w:ascii="Times New Roman" w:hAnsi="Times New Roman" w:cs="Times New Roman"/>
              </w:rPr>
              <w:t xml:space="preserve"> for unidimensionality</w:t>
            </w:r>
            <w:r w:rsidR="00115DC0">
              <w:rPr>
                <w:rFonts w:ascii="Times New Roman" w:hAnsi="Times New Roman" w:cs="Times New Roman"/>
              </w:rPr>
              <w:t>, indicating minimal undue bias towards the unidimensional model</w:t>
            </w:r>
            <w:r w:rsidRPr="00B424A1">
              <w:rPr>
                <w:rFonts w:ascii="Times New Roman" w:hAnsi="Times New Roman" w:cs="Times New Roman"/>
              </w:rPr>
              <w:t xml:space="preserve"> </w:t>
            </w:r>
            <w:r w:rsidRPr="00B424A1">
              <w:rPr>
                <w:rFonts w:ascii="Times New Roman" w:hAnsi="Times New Roman" w:cs="Times New Roman"/>
                <w:lang w:val="en-GB"/>
              </w:rPr>
              <w:t>(</w:t>
            </w:r>
            <w:bookmarkStart w:id="60" w:name="OLE_LINK1"/>
            <w:bookmarkStart w:id="61" w:name="OLE_LINK2"/>
            <w:r w:rsidRPr="00B424A1">
              <w:rPr>
                <w:rFonts w:ascii="Times New Roman" w:hAnsi="Times New Roman" w:cs="Times New Roman"/>
                <w:lang w:val="en-GB"/>
              </w:rPr>
              <w:t>Muthén et al., 1987)</w:t>
            </w:r>
            <w:bookmarkEnd w:id="60"/>
            <w:bookmarkEnd w:id="61"/>
            <w:r w:rsidRPr="00B424A1">
              <w:rPr>
                <w:rFonts w:ascii="Times New Roman" w:hAnsi="Times New Roman" w:cs="Times New Roman"/>
              </w:rPr>
              <w:t>.</w:t>
            </w:r>
          </w:p>
        </w:tc>
      </w:tr>
    </w:tbl>
    <w:p w14:paraId="13E7C691" w14:textId="24499C9A" w:rsidR="007D2593" w:rsidRPr="00B424A1" w:rsidRDefault="002A7D7B" w:rsidP="006716B9">
      <w:pPr>
        <w:pStyle w:val="Heading1"/>
        <w:rPr>
          <w:noProof/>
        </w:rPr>
      </w:pPr>
      <w:bookmarkStart w:id="62" w:name="_Toc86046791"/>
      <w:bookmarkStart w:id="63" w:name="_Toc86047032"/>
      <w:bookmarkStart w:id="64" w:name="_Toc86047159"/>
      <w:bookmarkStart w:id="65" w:name="_Toc86047215"/>
      <w:r w:rsidRPr="00B424A1">
        <w:rPr>
          <w:noProof/>
        </w:rPr>
        <w:lastRenderedPageBreak/>
        <w:t>Results</w:t>
      </w:r>
      <w:bookmarkEnd w:id="62"/>
      <w:bookmarkEnd w:id="63"/>
      <w:bookmarkEnd w:id="64"/>
      <w:bookmarkEnd w:id="65"/>
    </w:p>
    <w:p w14:paraId="3EC7E3C0" w14:textId="50F91B56" w:rsidR="00F163A7" w:rsidRPr="00B424A1" w:rsidRDefault="00F163A7" w:rsidP="00F163A7">
      <w:pPr>
        <w:pStyle w:val="Heading2"/>
      </w:pPr>
      <w:r w:rsidRPr="00B424A1">
        <w:t>Participants</w:t>
      </w:r>
    </w:p>
    <w:p w14:paraId="686B9C99" w14:textId="3B6FB13C" w:rsidR="00F163A7" w:rsidRPr="00B424A1" w:rsidRDefault="00F163A7" w:rsidP="00F163A7">
      <w:pPr>
        <w:autoSpaceDE w:val="0"/>
        <w:autoSpaceDN w:val="0"/>
        <w:adjustRightInd w:val="0"/>
        <w:rPr>
          <w:rFonts w:ascii="Times New Roman" w:hAnsi="Times New Roman" w:cs="Times New Roman"/>
          <w:szCs w:val="22"/>
          <w:lang w:val="en-AU" w:eastAsia="zh-CN"/>
        </w:rPr>
      </w:pPr>
      <w:r w:rsidRPr="00996F86">
        <w:rPr>
          <w:rFonts w:ascii="Times New Roman" w:hAnsi="Times New Roman"/>
          <w:lang w:val="en-GB"/>
        </w:rPr>
        <w:t xml:space="preserve">A description of the study participants is provided in Table 2. Consistent with the large proportion of motor </w:t>
      </w:r>
      <w:r w:rsidR="00515E70" w:rsidRPr="00996F86">
        <w:rPr>
          <w:rFonts w:ascii="Times New Roman" w:hAnsi="Times New Roman"/>
          <w:lang w:val="en-GB"/>
        </w:rPr>
        <w:t>vehicle-related collisions</w:t>
      </w:r>
      <w:r w:rsidRPr="00996F86">
        <w:rPr>
          <w:rFonts w:ascii="Times New Roman" w:hAnsi="Times New Roman"/>
          <w:lang w:val="en-GB"/>
        </w:rPr>
        <w:t>, the sample largely comprised young</w:t>
      </w:r>
      <w:r w:rsidR="00AB15B3" w:rsidRPr="00996F86">
        <w:rPr>
          <w:rFonts w:ascii="Times New Roman" w:hAnsi="Times New Roman"/>
          <w:lang w:val="en-GB"/>
        </w:rPr>
        <w:t>-</w:t>
      </w:r>
      <w:r w:rsidR="00515E70" w:rsidRPr="00996F86">
        <w:rPr>
          <w:rFonts w:ascii="Times New Roman" w:hAnsi="Times New Roman"/>
          <w:lang w:val="en-GB"/>
        </w:rPr>
        <w:t xml:space="preserve">adult </w:t>
      </w:r>
      <w:r w:rsidRPr="00996F86">
        <w:rPr>
          <w:rFonts w:ascii="Times New Roman" w:hAnsi="Times New Roman"/>
          <w:lang w:val="en-GB"/>
        </w:rPr>
        <w:t>males</w:t>
      </w:r>
      <w:r w:rsidR="00A673F2">
        <w:rPr>
          <w:rFonts w:ascii="Times New Roman" w:hAnsi="Times New Roman"/>
          <w:lang w:val="en-GB"/>
        </w:rPr>
        <w:t xml:space="preserve"> with </w:t>
      </w:r>
      <w:r w:rsidRPr="00996F86">
        <w:rPr>
          <w:rFonts w:ascii="Times New Roman" w:hAnsi="Times New Roman"/>
          <w:lang w:val="en-GB"/>
        </w:rPr>
        <w:t xml:space="preserve">12 years of education. </w:t>
      </w:r>
      <w:r w:rsidR="00515E70" w:rsidRPr="00B424A1">
        <w:rPr>
          <w:rFonts w:ascii="Times New Roman" w:hAnsi="Times New Roman" w:cs="Times New Roman"/>
          <w:szCs w:val="22"/>
          <w:lang w:val="en-AU" w:eastAsia="zh-CN"/>
        </w:rPr>
        <w:t xml:space="preserve">As part </w:t>
      </w:r>
      <w:r w:rsidR="00AB15B3" w:rsidRPr="00B424A1">
        <w:rPr>
          <w:rFonts w:ascii="Times New Roman" w:hAnsi="Times New Roman" w:cs="Times New Roman"/>
          <w:szCs w:val="22"/>
          <w:lang w:val="en-AU" w:eastAsia="zh-CN"/>
        </w:rPr>
        <w:t xml:space="preserve">of </w:t>
      </w:r>
      <w:r w:rsidR="002F42A8" w:rsidRPr="00B424A1">
        <w:rPr>
          <w:rFonts w:ascii="Times New Roman" w:hAnsi="Times New Roman" w:cs="Times New Roman"/>
          <w:szCs w:val="22"/>
          <w:lang w:val="en-AU" w:eastAsia="zh-CN"/>
        </w:rPr>
        <w:t>the larger longitudinal study of psychiatric disorders</w:t>
      </w:r>
      <w:r w:rsidR="00AB15B3" w:rsidRPr="00B424A1">
        <w:rPr>
          <w:rFonts w:ascii="Times New Roman" w:hAnsi="Times New Roman" w:cs="Times New Roman"/>
          <w:szCs w:val="22"/>
          <w:lang w:val="en-AU" w:eastAsia="zh-CN"/>
        </w:rPr>
        <w:t xml:space="preserve"> (</w:t>
      </w:r>
      <w:r w:rsidR="00E52A6A">
        <w:rPr>
          <w:rFonts w:ascii="Times New Roman" w:hAnsi="Times New Roman" w:cs="Times New Roman"/>
          <w:szCs w:val="22"/>
          <w:lang w:val="en-AU" w:eastAsia="zh-CN"/>
        </w:rPr>
        <w:t xml:space="preserve">Alway et al., 2016; </w:t>
      </w:r>
      <w:r w:rsidR="00E52A6A">
        <w:rPr>
          <w:rFonts w:ascii="Times New Roman" w:hAnsi="Times New Roman"/>
          <w:lang w:val="en-AU"/>
        </w:rPr>
        <w:t>Gould et al., 2011b</w:t>
      </w:r>
      <w:r w:rsidR="00AB15B3" w:rsidRPr="00B424A1">
        <w:rPr>
          <w:rFonts w:ascii="Times New Roman" w:hAnsi="Times New Roman" w:cs="Times New Roman"/>
          <w:szCs w:val="22"/>
          <w:lang w:val="en-AU" w:eastAsia="zh-CN"/>
        </w:rPr>
        <w:t>)</w:t>
      </w:r>
      <w:r w:rsidR="00515E70" w:rsidRPr="00B424A1">
        <w:rPr>
          <w:rFonts w:ascii="Times New Roman" w:hAnsi="Times New Roman" w:cs="Times New Roman"/>
          <w:szCs w:val="22"/>
          <w:lang w:val="en-AU" w:eastAsia="zh-CN"/>
        </w:rPr>
        <w:t xml:space="preserve">, </w:t>
      </w:r>
      <w:r w:rsidR="00AB15B3" w:rsidRPr="00B424A1">
        <w:rPr>
          <w:rFonts w:ascii="Times New Roman" w:hAnsi="Times New Roman" w:cs="Times New Roman"/>
          <w:szCs w:val="22"/>
          <w:lang w:val="en-AU" w:eastAsia="zh-CN"/>
        </w:rPr>
        <w:t xml:space="preserve">many </w:t>
      </w:r>
      <w:r w:rsidR="00515E70" w:rsidRPr="00B424A1">
        <w:rPr>
          <w:rFonts w:ascii="Times New Roman" w:hAnsi="Times New Roman" w:cs="Times New Roman"/>
          <w:szCs w:val="22"/>
          <w:lang w:val="en-AU" w:eastAsia="zh-CN"/>
        </w:rPr>
        <w:t xml:space="preserve">participants </w:t>
      </w:r>
      <w:r w:rsidR="00AA6DDE" w:rsidRPr="00B424A1">
        <w:rPr>
          <w:rFonts w:ascii="Times New Roman" w:hAnsi="Times New Roman" w:cs="Times New Roman"/>
          <w:szCs w:val="22"/>
          <w:lang w:val="en-AU" w:eastAsia="zh-CN"/>
        </w:rPr>
        <w:t xml:space="preserve">previously </w:t>
      </w:r>
      <w:r w:rsidR="00515E70" w:rsidRPr="00B424A1">
        <w:rPr>
          <w:rFonts w:ascii="Times New Roman" w:hAnsi="Times New Roman" w:cs="Times New Roman"/>
          <w:szCs w:val="22"/>
          <w:lang w:val="en-AU" w:eastAsia="zh-CN"/>
        </w:rPr>
        <w:t xml:space="preserve">took part in </w:t>
      </w:r>
      <w:r w:rsidR="00AA6DDE" w:rsidRPr="00B424A1">
        <w:rPr>
          <w:rFonts w:ascii="Times New Roman" w:hAnsi="Times New Roman" w:cs="Times New Roman"/>
          <w:szCs w:val="22"/>
          <w:lang w:val="en-AU" w:eastAsia="zh-CN"/>
        </w:rPr>
        <w:t>a clinical</w:t>
      </w:r>
      <w:r w:rsidR="00515E70" w:rsidRPr="00B424A1">
        <w:rPr>
          <w:rFonts w:ascii="Times New Roman" w:hAnsi="Times New Roman" w:cs="Times New Roman"/>
          <w:szCs w:val="22"/>
          <w:lang w:val="en-AU" w:eastAsia="zh-CN"/>
        </w:rPr>
        <w:t xml:space="preserve"> interview, on average two months post-injury, </w:t>
      </w:r>
      <w:r w:rsidR="00AA6DDE" w:rsidRPr="00B424A1">
        <w:rPr>
          <w:rFonts w:ascii="Times New Roman" w:hAnsi="Times New Roman" w:cs="Times New Roman"/>
          <w:szCs w:val="22"/>
          <w:lang w:val="en-AU" w:eastAsia="zh-CN"/>
        </w:rPr>
        <w:t xml:space="preserve">to </w:t>
      </w:r>
      <w:r w:rsidR="00515E70" w:rsidRPr="00B424A1">
        <w:rPr>
          <w:rFonts w:ascii="Times New Roman" w:hAnsi="Times New Roman" w:cs="Times New Roman"/>
          <w:szCs w:val="22"/>
          <w:lang w:val="en-AU" w:eastAsia="zh-CN"/>
        </w:rPr>
        <w:t>assess the pre-injury presence of DSM-IV Axis I disorders</w:t>
      </w:r>
      <w:r w:rsidR="00AA6DDE" w:rsidRPr="00B424A1">
        <w:rPr>
          <w:rFonts w:ascii="Times New Roman" w:hAnsi="Times New Roman" w:cs="Times New Roman"/>
          <w:szCs w:val="22"/>
          <w:lang w:val="en-AU" w:eastAsia="zh-CN"/>
        </w:rPr>
        <w:t xml:space="preserve"> (using the Structured Clinical Interview for DSM-IV Axis I Disorders [SCID]; First et al., 2002)</w:t>
      </w:r>
      <w:r w:rsidR="00515E70" w:rsidRPr="00B424A1">
        <w:rPr>
          <w:rFonts w:ascii="Times New Roman" w:hAnsi="Times New Roman" w:cs="Times New Roman"/>
          <w:szCs w:val="22"/>
          <w:lang w:val="en-AU" w:eastAsia="zh-CN"/>
        </w:rPr>
        <w:t>.</w:t>
      </w:r>
      <w:r w:rsidR="00AB15B3" w:rsidRPr="00B424A1">
        <w:rPr>
          <w:rFonts w:ascii="Times New Roman" w:hAnsi="Times New Roman" w:cs="Times New Roman"/>
          <w:szCs w:val="22"/>
          <w:lang w:val="en-AU" w:eastAsia="zh-CN"/>
        </w:rPr>
        <w:t xml:space="preserve"> Of the participants in the current study who completed the pre-injury SCID interview (</w:t>
      </w:r>
      <w:r w:rsidR="00AB15B3" w:rsidRPr="00B424A1">
        <w:rPr>
          <w:rFonts w:ascii="Times New Roman" w:hAnsi="Times New Roman" w:cs="Times New Roman"/>
          <w:i/>
          <w:iCs/>
          <w:szCs w:val="22"/>
          <w:lang w:val="en-AU" w:eastAsia="zh-CN"/>
        </w:rPr>
        <w:t>n</w:t>
      </w:r>
      <w:r w:rsidR="00AB15B3" w:rsidRPr="00B424A1">
        <w:rPr>
          <w:rFonts w:ascii="Times New Roman" w:hAnsi="Times New Roman" w:cs="Times New Roman"/>
          <w:szCs w:val="22"/>
          <w:lang w:val="en-AU" w:eastAsia="zh-CN"/>
        </w:rPr>
        <w:t xml:space="preserve"> = 104), 44.23% had experienced a psychiatric disorder, most often an alcohol- or substance-related disorder, at some stage prior to their TBI.</w:t>
      </w:r>
    </w:p>
    <w:p w14:paraId="1B49517B" w14:textId="77777777" w:rsidR="00AD0196" w:rsidRPr="00B424A1" w:rsidRDefault="00AD0196" w:rsidP="00AD0196">
      <w:pPr>
        <w:pStyle w:val="Heading2"/>
        <w:rPr>
          <w:lang w:eastAsia="zh-CN"/>
        </w:rPr>
      </w:pPr>
      <w:r w:rsidRPr="00B424A1">
        <w:rPr>
          <w:lang w:eastAsia="zh-CN"/>
        </w:rPr>
        <w:t>DASS21 and DASS42 Descriptive Statistics</w:t>
      </w:r>
    </w:p>
    <w:p w14:paraId="437D42EB" w14:textId="090A3ED5" w:rsidR="00AD0196" w:rsidRPr="00A36B4A" w:rsidRDefault="00AD0196" w:rsidP="00A36B4A">
      <w:pPr>
        <w:pStyle w:val="TableFigure"/>
        <w:spacing w:before="0"/>
        <w:ind w:firstLine="720"/>
        <w:rPr>
          <w:lang w:val="en-GB"/>
        </w:rPr>
      </w:pPr>
      <w:r w:rsidRPr="00B424A1">
        <w:rPr>
          <w:lang w:val="en-GB"/>
        </w:rPr>
        <w:t xml:space="preserve">The mean DASS scores for depression, anxiety, and stress symptoms fell within the </w:t>
      </w:r>
      <w:r w:rsidRPr="00996F86">
        <w:rPr>
          <w:lang w:val="en-GB"/>
        </w:rPr>
        <w:t xml:space="preserve">mild severity </w:t>
      </w:r>
      <w:r w:rsidRPr="00B424A1">
        <w:rPr>
          <w:lang w:val="en-GB"/>
        </w:rPr>
        <w:t>range, indicating mildly elevated symptomatology in our TBI sample compared to the general population. A considerable proportion of individuals in this sample exhibited severe to extremely severe symptoms of depression, anxiety, and stress (Table 3). The inter-scale correlations for the DASS were strong (</w:t>
      </w:r>
      <w:r w:rsidRPr="00B424A1">
        <w:rPr>
          <w:i/>
          <w:iCs/>
          <w:lang w:val="en-GB"/>
        </w:rPr>
        <w:t>r</w:t>
      </w:r>
      <w:r w:rsidRPr="00B424A1">
        <w:rPr>
          <w:lang w:val="en-GB"/>
        </w:rPr>
        <w:t xml:space="preserve"> = .66–.83,</w:t>
      </w:r>
      <w:r>
        <w:rPr>
          <w:lang w:val="en-GB"/>
        </w:rPr>
        <w:t xml:space="preserve"> all</w:t>
      </w:r>
      <w:r w:rsidRPr="00B424A1">
        <w:rPr>
          <w:lang w:val="en-GB"/>
        </w:rPr>
        <w:t xml:space="preserve"> </w:t>
      </w:r>
      <w:r w:rsidRPr="00B424A1">
        <w:rPr>
          <w:i/>
          <w:iCs/>
          <w:lang w:val="en-GB"/>
        </w:rPr>
        <w:t>p</w:t>
      </w:r>
      <w:r>
        <w:rPr>
          <w:lang w:val="en-GB"/>
        </w:rPr>
        <w:t>-values</w:t>
      </w:r>
      <w:r w:rsidRPr="00B424A1">
        <w:rPr>
          <w:lang w:val="en-GB"/>
        </w:rPr>
        <w:t xml:space="preserve"> </w:t>
      </w:r>
      <w:r w:rsidRPr="00B424A1">
        <w:rPr>
          <w:rFonts w:cstheme="minorHAnsi"/>
          <w:lang w:val="en-GB"/>
        </w:rPr>
        <w:t>&lt;</w:t>
      </w:r>
      <w:r w:rsidRPr="00B424A1">
        <w:rPr>
          <w:lang w:val="en-GB"/>
        </w:rPr>
        <w:t xml:space="preserve"> .001; Table 4), meaning that participants with one elevated score were likely to have other elevated scores.</w:t>
      </w:r>
      <w:r>
        <w:rPr>
          <w:rFonts w:ascii="Times New Roman" w:hAnsi="Times New Roman" w:cs="Times New Roman"/>
          <w:b/>
          <w:bCs/>
        </w:rPr>
        <w:br w:type="page"/>
      </w:r>
    </w:p>
    <w:p w14:paraId="03637AFE" w14:textId="3C0268DA" w:rsidR="00F163A7" w:rsidRPr="00B424A1" w:rsidRDefault="00F163A7" w:rsidP="006E6F62">
      <w:pPr>
        <w:spacing w:line="276" w:lineRule="auto"/>
        <w:ind w:firstLine="0"/>
        <w:rPr>
          <w:rFonts w:ascii="Times New Roman" w:hAnsi="Times New Roman" w:cs="Times New Roman"/>
          <w:b/>
          <w:bCs/>
        </w:rPr>
      </w:pPr>
      <w:r w:rsidRPr="00B424A1">
        <w:rPr>
          <w:rFonts w:ascii="Times New Roman" w:hAnsi="Times New Roman" w:cs="Times New Roman"/>
          <w:b/>
          <w:bCs/>
        </w:rPr>
        <w:lastRenderedPageBreak/>
        <w:t>Table 2</w:t>
      </w:r>
    </w:p>
    <w:p w14:paraId="1A721AD9" w14:textId="77777777" w:rsidR="00F163A7" w:rsidRPr="00B424A1" w:rsidRDefault="00F163A7" w:rsidP="006E6F62">
      <w:pPr>
        <w:spacing w:line="276" w:lineRule="auto"/>
        <w:ind w:firstLine="0"/>
        <w:rPr>
          <w:rFonts w:ascii="Times New Roman" w:hAnsi="Times New Roman" w:cs="Times New Roman"/>
          <w:i/>
          <w:iCs/>
        </w:rPr>
      </w:pPr>
      <w:r w:rsidRPr="00B424A1">
        <w:rPr>
          <w:rFonts w:ascii="Times New Roman" w:hAnsi="Times New Roman" w:cs="Times New Roman"/>
          <w:i/>
          <w:iCs/>
        </w:rPr>
        <w:t>Participant Demographic and Injury Characteristics (n = 136)</w:t>
      </w:r>
    </w:p>
    <w:tbl>
      <w:tblPr>
        <w:tblStyle w:val="APAReport"/>
        <w:tblW w:w="5000" w:type="pct"/>
        <w:tblLayout w:type="fixed"/>
        <w:tblLook w:val="04A0" w:firstRow="1" w:lastRow="0" w:firstColumn="1" w:lastColumn="0" w:noHBand="0" w:noVBand="1"/>
        <w:tblCaption w:val="Sample 5-column table"/>
      </w:tblPr>
      <w:tblGrid>
        <w:gridCol w:w="3969"/>
        <w:gridCol w:w="993"/>
        <w:gridCol w:w="1984"/>
        <w:gridCol w:w="2080"/>
      </w:tblGrid>
      <w:tr w:rsidR="00B424A1" w:rsidRPr="00B424A1" w14:paraId="649CDD64" w14:textId="77777777" w:rsidTr="008A3859">
        <w:trPr>
          <w:cnfStyle w:val="100000000000" w:firstRow="1" w:lastRow="0" w:firstColumn="0" w:lastColumn="0" w:oddVBand="0" w:evenVBand="0" w:oddHBand="0" w:evenHBand="0" w:firstRowFirstColumn="0" w:firstRowLastColumn="0" w:lastRowFirstColumn="0" w:lastRowLastColumn="0"/>
          <w:trHeight w:val="244"/>
        </w:trPr>
        <w:tc>
          <w:tcPr>
            <w:tcW w:w="2199" w:type="pct"/>
          </w:tcPr>
          <w:p w14:paraId="267CAFA1" w14:textId="77777777" w:rsidR="00F163A7" w:rsidRPr="00B424A1" w:rsidRDefault="00F163A7" w:rsidP="0010532B">
            <w:pPr>
              <w:pStyle w:val="NoSpacing"/>
              <w:spacing w:line="276" w:lineRule="auto"/>
            </w:pPr>
            <w:r w:rsidRPr="00B424A1">
              <w:rPr>
                <w:rFonts w:ascii="Times New Roman" w:hAnsi="Times New Roman" w:cs="Times New Roman"/>
              </w:rPr>
              <w:t>Participant characteristic</w:t>
            </w:r>
          </w:p>
        </w:tc>
        <w:tc>
          <w:tcPr>
            <w:tcW w:w="550" w:type="pct"/>
          </w:tcPr>
          <w:p w14:paraId="186A8131" w14:textId="77777777" w:rsidR="00F163A7" w:rsidRPr="00B424A1" w:rsidRDefault="00F163A7" w:rsidP="0010532B">
            <w:pPr>
              <w:pStyle w:val="NoSpacing"/>
              <w:spacing w:line="276" w:lineRule="auto"/>
              <w:jc w:val="center"/>
              <w:rPr>
                <w:i/>
                <w:iCs/>
              </w:rPr>
            </w:pPr>
            <w:r w:rsidRPr="00B424A1">
              <w:rPr>
                <w:i/>
                <w:iCs/>
              </w:rPr>
              <w:t>n</w:t>
            </w:r>
          </w:p>
        </w:tc>
        <w:tc>
          <w:tcPr>
            <w:tcW w:w="1099" w:type="pct"/>
          </w:tcPr>
          <w:p w14:paraId="48EAF623" w14:textId="77777777" w:rsidR="00F163A7" w:rsidRPr="00B424A1" w:rsidRDefault="00F163A7" w:rsidP="0010532B">
            <w:pPr>
              <w:pStyle w:val="NoSpacing"/>
              <w:spacing w:line="276" w:lineRule="auto"/>
              <w:jc w:val="center"/>
            </w:pPr>
            <w:r w:rsidRPr="00B424A1">
              <w:rPr>
                <w:rFonts w:ascii="Times New Roman" w:hAnsi="Times New Roman" w:cs="Times New Roman"/>
              </w:rPr>
              <w:t>M (SD) / %</w:t>
            </w:r>
          </w:p>
        </w:tc>
        <w:tc>
          <w:tcPr>
            <w:tcW w:w="1152" w:type="pct"/>
          </w:tcPr>
          <w:p w14:paraId="78F18589" w14:textId="77777777" w:rsidR="00F163A7" w:rsidRPr="00B424A1" w:rsidRDefault="00F163A7" w:rsidP="0010532B">
            <w:pPr>
              <w:pStyle w:val="NoSpacing"/>
              <w:spacing w:line="276" w:lineRule="auto"/>
              <w:jc w:val="center"/>
              <w:rPr>
                <w:rFonts w:ascii="Times New Roman" w:hAnsi="Times New Roman" w:cs="Times New Roman"/>
              </w:rPr>
            </w:pPr>
            <w:r w:rsidRPr="00B424A1">
              <w:rPr>
                <w:rFonts w:ascii="Times New Roman" w:hAnsi="Times New Roman" w:cs="Times New Roman"/>
              </w:rPr>
              <w:t>Median (range)</w:t>
            </w:r>
          </w:p>
        </w:tc>
      </w:tr>
      <w:tr w:rsidR="00B424A1" w:rsidRPr="00B424A1" w14:paraId="7D859DAB" w14:textId="77777777" w:rsidTr="008A3859">
        <w:trPr>
          <w:trHeight w:val="244"/>
        </w:trPr>
        <w:tc>
          <w:tcPr>
            <w:tcW w:w="2199" w:type="pct"/>
            <w:tcBorders>
              <w:top w:val="single" w:sz="12" w:space="0" w:color="auto"/>
              <w:bottom w:val="nil"/>
              <w:right w:val="nil"/>
            </w:tcBorders>
          </w:tcPr>
          <w:p w14:paraId="70E632A5" w14:textId="77777777" w:rsidR="00F163A7" w:rsidRPr="00B424A1" w:rsidRDefault="00F163A7" w:rsidP="0010532B">
            <w:pPr>
              <w:pStyle w:val="NoSpacing"/>
              <w:spacing w:line="276" w:lineRule="auto"/>
            </w:pPr>
            <w:r w:rsidRPr="00B424A1">
              <w:t>Sex</w:t>
            </w:r>
          </w:p>
        </w:tc>
        <w:tc>
          <w:tcPr>
            <w:tcW w:w="550" w:type="pct"/>
            <w:tcBorders>
              <w:top w:val="single" w:sz="12" w:space="0" w:color="auto"/>
              <w:left w:val="nil"/>
              <w:bottom w:val="nil"/>
              <w:right w:val="nil"/>
            </w:tcBorders>
          </w:tcPr>
          <w:p w14:paraId="4A31E4AB" w14:textId="77777777" w:rsidR="00F163A7" w:rsidRPr="00B424A1" w:rsidRDefault="00F163A7" w:rsidP="0010532B">
            <w:pPr>
              <w:pStyle w:val="NoSpacing"/>
              <w:spacing w:line="276" w:lineRule="auto"/>
              <w:jc w:val="center"/>
            </w:pPr>
            <w:r w:rsidRPr="00B424A1">
              <w:t>136</w:t>
            </w:r>
          </w:p>
        </w:tc>
        <w:tc>
          <w:tcPr>
            <w:tcW w:w="1099" w:type="pct"/>
            <w:tcBorders>
              <w:top w:val="single" w:sz="12" w:space="0" w:color="auto"/>
              <w:left w:val="nil"/>
              <w:bottom w:val="nil"/>
              <w:right w:val="nil"/>
            </w:tcBorders>
          </w:tcPr>
          <w:p w14:paraId="771E505B" w14:textId="77777777" w:rsidR="00F163A7" w:rsidRPr="00B424A1" w:rsidRDefault="00F163A7" w:rsidP="0010532B">
            <w:pPr>
              <w:pStyle w:val="NoSpacing"/>
              <w:spacing w:line="276" w:lineRule="auto"/>
              <w:jc w:val="center"/>
            </w:pPr>
          </w:p>
        </w:tc>
        <w:tc>
          <w:tcPr>
            <w:tcW w:w="1152" w:type="pct"/>
            <w:tcBorders>
              <w:top w:val="single" w:sz="12" w:space="0" w:color="auto"/>
              <w:left w:val="nil"/>
              <w:bottom w:val="nil"/>
              <w:right w:val="nil"/>
            </w:tcBorders>
          </w:tcPr>
          <w:p w14:paraId="60FDA3E6" w14:textId="77777777" w:rsidR="00F163A7" w:rsidRPr="00B424A1" w:rsidRDefault="00F163A7" w:rsidP="0010532B">
            <w:pPr>
              <w:pStyle w:val="NoSpacing"/>
              <w:spacing w:line="276" w:lineRule="auto"/>
              <w:jc w:val="center"/>
            </w:pPr>
          </w:p>
        </w:tc>
      </w:tr>
      <w:tr w:rsidR="00B424A1" w:rsidRPr="00B424A1" w14:paraId="53D6406B" w14:textId="77777777" w:rsidTr="008A3859">
        <w:trPr>
          <w:trHeight w:val="244"/>
        </w:trPr>
        <w:tc>
          <w:tcPr>
            <w:tcW w:w="2199" w:type="pct"/>
            <w:tcBorders>
              <w:top w:val="nil"/>
              <w:bottom w:val="nil"/>
              <w:right w:val="nil"/>
            </w:tcBorders>
            <w:vAlign w:val="center"/>
          </w:tcPr>
          <w:p w14:paraId="09FEB7A3" w14:textId="77777777" w:rsidR="00F163A7" w:rsidRPr="00B424A1" w:rsidRDefault="00F163A7" w:rsidP="0010532B">
            <w:pPr>
              <w:pStyle w:val="NoSpacing"/>
              <w:spacing w:line="276" w:lineRule="auto"/>
            </w:pPr>
            <w:r w:rsidRPr="00B424A1">
              <w:rPr>
                <w:rFonts w:ascii="Times New Roman" w:hAnsi="Times New Roman" w:cs="Times New Roman"/>
              </w:rPr>
              <w:t xml:space="preserve">   Male</w:t>
            </w:r>
          </w:p>
        </w:tc>
        <w:tc>
          <w:tcPr>
            <w:tcW w:w="550" w:type="pct"/>
            <w:tcBorders>
              <w:top w:val="nil"/>
              <w:left w:val="nil"/>
              <w:bottom w:val="nil"/>
              <w:right w:val="nil"/>
            </w:tcBorders>
          </w:tcPr>
          <w:p w14:paraId="0BD7AE47" w14:textId="77777777" w:rsidR="00F163A7" w:rsidRPr="00B424A1" w:rsidRDefault="00F163A7" w:rsidP="0010532B">
            <w:pPr>
              <w:pStyle w:val="NoSpacing"/>
              <w:spacing w:line="276" w:lineRule="auto"/>
              <w:jc w:val="center"/>
            </w:pPr>
            <w:r w:rsidRPr="00B424A1">
              <w:rPr>
                <w:rFonts w:ascii="Times New Roman" w:hAnsi="Times New Roman" w:cs="Times New Roman"/>
              </w:rPr>
              <w:t>106</w:t>
            </w:r>
          </w:p>
        </w:tc>
        <w:tc>
          <w:tcPr>
            <w:tcW w:w="1099" w:type="pct"/>
            <w:tcBorders>
              <w:top w:val="nil"/>
              <w:left w:val="nil"/>
              <w:bottom w:val="nil"/>
              <w:right w:val="nil"/>
            </w:tcBorders>
          </w:tcPr>
          <w:p w14:paraId="6C4586E6" w14:textId="77777777" w:rsidR="00F163A7" w:rsidRPr="00B424A1" w:rsidRDefault="00F163A7" w:rsidP="0010532B">
            <w:pPr>
              <w:pStyle w:val="NoSpacing"/>
              <w:spacing w:line="276" w:lineRule="auto"/>
              <w:jc w:val="center"/>
            </w:pPr>
            <w:r w:rsidRPr="00B424A1">
              <w:rPr>
                <w:rFonts w:ascii="Times New Roman" w:hAnsi="Times New Roman" w:cs="Times New Roman"/>
              </w:rPr>
              <w:t>77.94%</w:t>
            </w:r>
          </w:p>
        </w:tc>
        <w:tc>
          <w:tcPr>
            <w:tcW w:w="1152" w:type="pct"/>
            <w:tcBorders>
              <w:top w:val="nil"/>
              <w:left w:val="nil"/>
              <w:bottom w:val="nil"/>
              <w:right w:val="nil"/>
            </w:tcBorders>
          </w:tcPr>
          <w:p w14:paraId="42550CBB" w14:textId="77777777" w:rsidR="00F163A7" w:rsidRPr="00B424A1" w:rsidRDefault="00F163A7" w:rsidP="0010532B">
            <w:pPr>
              <w:pStyle w:val="NoSpacing"/>
              <w:spacing w:line="276" w:lineRule="auto"/>
              <w:jc w:val="center"/>
              <w:rPr>
                <w:rFonts w:ascii="Times New Roman" w:hAnsi="Times New Roman" w:cs="Times New Roman"/>
              </w:rPr>
            </w:pPr>
            <w:r w:rsidRPr="00B424A1">
              <w:rPr>
                <w:rFonts w:ascii="Times New Roman" w:hAnsi="Times New Roman" w:cs="Times New Roman"/>
              </w:rPr>
              <w:t>-</w:t>
            </w:r>
          </w:p>
        </w:tc>
      </w:tr>
      <w:tr w:rsidR="00B424A1" w:rsidRPr="00B424A1" w14:paraId="3DF4A740" w14:textId="77777777" w:rsidTr="008A3859">
        <w:trPr>
          <w:trHeight w:val="244"/>
        </w:trPr>
        <w:tc>
          <w:tcPr>
            <w:tcW w:w="2199" w:type="pct"/>
            <w:tcBorders>
              <w:top w:val="nil"/>
              <w:bottom w:val="nil"/>
              <w:right w:val="nil"/>
            </w:tcBorders>
          </w:tcPr>
          <w:p w14:paraId="5D722495" w14:textId="77777777" w:rsidR="00F163A7" w:rsidRPr="00B424A1" w:rsidRDefault="00F163A7" w:rsidP="0010532B">
            <w:pPr>
              <w:pStyle w:val="NoSpacing"/>
              <w:spacing w:line="276" w:lineRule="auto"/>
            </w:pPr>
            <w:r w:rsidRPr="00B424A1">
              <w:rPr>
                <w:rFonts w:ascii="Times New Roman" w:hAnsi="Times New Roman" w:cs="Times New Roman"/>
              </w:rPr>
              <w:t xml:space="preserve">   Female</w:t>
            </w:r>
          </w:p>
        </w:tc>
        <w:tc>
          <w:tcPr>
            <w:tcW w:w="550" w:type="pct"/>
            <w:tcBorders>
              <w:top w:val="nil"/>
              <w:left w:val="nil"/>
              <w:bottom w:val="nil"/>
              <w:right w:val="nil"/>
            </w:tcBorders>
          </w:tcPr>
          <w:p w14:paraId="7EF24E8D" w14:textId="77777777" w:rsidR="00F163A7" w:rsidRPr="00B424A1" w:rsidRDefault="00F163A7" w:rsidP="0010532B">
            <w:pPr>
              <w:pStyle w:val="NoSpacing"/>
              <w:spacing w:line="276" w:lineRule="auto"/>
              <w:jc w:val="center"/>
            </w:pPr>
            <w:r w:rsidRPr="00B424A1">
              <w:rPr>
                <w:rFonts w:ascii="Times New Roman" w:hAnsi="Times New Roman" w:cs="Times New Roman"/>
              </w:rPr>
              <w:t>30</w:t>
            </w:r>
          </w:p>
        </w:tc>
        <w:tc>
          <w:tcPr>
            <w:tcW w:w="1099" w:type="pct"/>
            <w:tcBorders>
              <w:top w:val="nil"/>
              <w:left w:val="nil"/>
              <w:bottom w:val="nil"/>
              <w:right w:val="nil"/>
            </w:tcBorders>
          </w:tcPr>
          <w:p w14:paraId="30BC830A" w14:textId="77777777" w:rsidR="00F163A7" w:rsidRPr="00B424A1" w:rsidRDefault="00F163A7" w:rsidP="0010532B">
            <w:pPr>
              <w:pStyle w:val="NoSpacing"/>
              <w:spacing w:line="276" w:lineRule="auto"/>
              <w:jc w:val="center"/>
            </w:pPr>
            <w:r w:rsidRPr="00B424A1">
              <w:rPr>
                <w:rFonts w:ascii="Times New Roman" w:hAnsi="Times New Roman" w:cs="Times New Roman"/>
              </w:rPr>
              <w:t>22.06%</w:t>
            </w:r>
          </w:p>
        </w:tc>
        <w:tc>
          <w:tcPr>
            <w:tcW w:w="1152" w:type="pct"/>
            <w:tcBorders>
              <w:top w:val="nil"/>
              <w:left w:val="nil"/>
              <w:bottom w:val="nil"/>
              <w:right w:val="nil"/>
            </w:tcBorders>
          </w:tcPr>
          <w:p w14:paraId="4AFBEE60" w14:textId="77777777" w:rsidR="00F163A7" w:rsidRPr="00B424A1" w:rsidRDefault="00F163A7" w:rsidP="0010532B">
            <w:pPr>
              <w:pStyle w:val="NoSpacing"/>
              <w:spacing w:line="276" w:lineRule="auto"/>
              <w:jc w:val="center"/>
              <w:rPr>
                <w:rFonts w:ascii="Times New Roman" w:hAnsi="Times New Roman" w:cs="Times New Roman"/>
              </w:rPr>
            </w:pPr>
            <w:r w:rsidRPr="00B424A1">
              <w:rPr>
                <w:rFonts w:ascii="Times New Roman" w:hAnsi="Times New Roman" w:cs="Times New Roman"/>
              </w:rPr>
              <w:t>-</w:t>
            </w:r>
          </w:p>
        </w:tc>
      </w:tr>
      <w:tr w:rsidR="00B424A1" w:rsidRPr="00B424A1" w14:paraId="1667CFBD" w14:textId="77777777" w:rsidTr="008A3859">
        <w:trPr>
          <w:trHeight w:val="244"/>
        </w:trPr>
        <w:tc>
          <w:tcPr>
            <w:tcW w:w="2199" w:type="pct"/>
            <w:tcBorders>
              <w:top w:val="nil"/>
              <w:bottom w:val="nil"/>
              <w:right w:val="nil"/>
            </w:tcBorders>
          </w:tcPr>
          <w:p w14:paraId="6DC11BF0" w14:textId="77777777" w:rsidR="00F163A7" w:rsidRPr="00B424A1" w:rsidRDefault="00F163A7" w:rsidP="0010532B">
            <w:pPr>
              <w:pStyle w:val="NoSpacing"/>
              <w:spacing w:line="276" w:lineRule="auto"/>
            </w:pPr>
            <w:r w:rsidRPr="00B424A1">
              <w:rPr>
                <w:rFonts w:ascii="Times New Roman" w:hAnsi="Times New Roman" w:cs="Times New Roman"/>
              </w:rPr>
              <w:t>Age (years)</w:t>
            </w:r>
          </w:p>
        </w:tc>
        <w:tc>
          <w:tcPr>
            <w:tcW w:w="550" w:type="pct"/>
            <w:tcBorders>
              <w:top w:val="nil"/>
              <w:left w:val="nil"/>
              <w:bottom w:val="nil"/>
              <w:right w:val="nil"/>
            </w:tcBorders>
          </w:tcPr>
          <w:p w14:paraId="2459B04A" w14:textId="77777777" w:rsidR="00F163A7" w:rsidRPr="00B424A1" w:rsidRDefault="00F163A7" w:rsidP="0010532B">
            <w:pPr>
              <w:pStyle w:val="NoSpacing"/>
              <w:spacing w:line="276" w:lineRule="auto"/>
              <w:jc w:val="center"/>
            </w:pPr>
            <w:r w:rsidRPr="00B424A1">
              <w:rPr>
                <w:rFonts w:ascii="Times New Roman" w:hAnsi="Times New Roman" w:cs="Times New Roman"/>
              </w:rPr>
              <w:t>136</w:t>
            </w:r>
          </w:p>
        </w:tc>
        <w:tc>
          <w:tcPr>
            <w:tcW w:w="1099" w:type="pct"/>
            <w:tcBorders>
              <w:top w:val="nil"/>
              <w:left w:val="nil"/>
              <w:bottom w:val="nil"/>
              <w:right w:val="nil"/>
            </w:tcBorders>
          </w:tcPr>
          <w:p w14:paraId="1FCCC227" w14:textId="77777777" w:rsidR="00F163A7" w:rsidRPr="00B424A1" w:rsidRDefault="00F163A7" w:rsidP="0010532B">
            <w:pPr>
              <w:pStyle w:val="NoSpacing"/>
              <w:spacing w:line="276" w:lineRule="auto"/>
              <w:jc w:val="center"/>
            </w:pPr>
            <w:r w:rsidRPr="00B424A1">
              <w:rPr>
                <w:rFonts w:ascii="Times New Roman" w:hAnsi="Times New Roman" w:cs="Times New Roman"/>
              </w:rPr>
              <w:t>38.51 (15.29)</w:t>
            </w:r>
          </w:p>
        </w:tc>
        <w:tc>
          <w:tcPr>
            <w:tcW w:w="1152" w:type="pct"/>
            <w:tcBorders>
              <w:top w:val="nil"/>
              <w:left w:val="nil"/>
              <w:bottom w:val="nil"/>
              <w:right w:val="nil"/>
            </w:tcBorders>
          </w:tcPr>
          <w:p w14:paraId="0D411FA6" w14:textId="77777777" w:rsidR="00F163A7" w:rsidRPr="00B424A1" w:rsidRDefault="00F163A7" w:rsidP="0010532B">
            <w:pPr>
              <w:pStyle w:val="NoSpacing"/>
              <w:spacing w:line="276" w:lineRule="auto"/>
              <w:jc w:val="center"/>
              <w:rPr>
                <w:rFonts w:ascii="Times New Roman" w:hAnsi="Times New Roman" w:cs="Times New Roman"/>
              </w:rPr>
            </w:pPr>
            <w:r w:rsidRPr="00B424A1">
              <w:rPr>
                <w:rFonts w:ascii="Times New Roman" w:hAnsi="Times New Roman" w:cs="Times New Roman"/>
              </w:rPr>
              <w:t>35.4 (18–78)</w:t>
            </w:r>
          </w:p>
        </w:tc>
      </w:tr>
      <w:tr w:rsidR="00B424A1" w:rsidRPr="00B424A1" w14:paraId="0B9C1AF5" w14:textId="77777777" w:rsidTr="008A3859">
        <w:trPr>
          <w:trHeight w:val="244"/>
        </w:trPr>
        <w:tc>
          <w:tcPr>
            <w:tcW w:w="2199" w:type="pct"/>
            <w:tcBorders>
              <w:top w:val="nil"/>
              <w:bottom w:val="nil"/>
              <w:right w:val="nil"/>
            </w:tcBorders>
          </w:tcPr>
          <w:p w14:paraId="2799547D" w14:textId="77777777" w:rsidR="00F163A7" w:rsidRPr="00B424A1" w:rsidRDefault="00F163A7" w:rsidP="0010532B">
            <w:pPr>
              <w:pStyle w:val="NoSpacing"/>
              <w:spacing w:line="276" w:lineRule="auto"/>
              <w:rPr>
                <w:rFonts w:ascii="Times New Roman" w:hAnsi="Times New Roman" w:cs="Times New Roman"/>
              </w:rPr>
            </w:pPr>
            <w:r w:rsidRPr="00B424A1">
              <w:rPr>
                <w:rFonts w:ascii="Times New Roman" w:hAnsi="Times New Roman" w:cs="Times New Roman"/>
              </w:rPr>
              <w:t>Years of education</w:t>
            </w:r>
          </w:p>
        </w:tc>
        <w:tc>
          <w:tcPr>
            <w:tcW w:w="550" w:type="pct"/>
            <w:tcBorders>
              <w:top w:val="nil"/>
              <w:left w:val="nil"/>
              <w:bottom w:val="nil"/>
              <w:right w:val="nil"/>
            </w:tcBorders>
          </w:tcPr>
          <w:p w14:paraId="404AF62F" w14:textId="77777777" w:rsidR="00F163A7" w:rsidRPr="00B424A1" w:rsidRDefault="00F163A7" w:rsidP="0010532B">
            <w:pPr>
              <w:pStyle w:val="NoSpacing"/>
              <w:spacing w:line="276" w:lineRule="auto"/>
              <w:jc w:val="center"/>
            </w:pPr>
            <w:r w:rsidRPr="00B424A1">
              <w:rPr>
                <w:rFonts w:ascii="Times New Roman" w:hAnsi="Times New Roman" w:cs="Times New Roman"/>
              </w:rPr>
              <w:t>136</w:t>
            </w:r>
          </w:p>
        </w:tc>
        <w:tc>
          <w:tcPr>
            <w:tcW w:w="1099" w:type="pct"/>
            <w:tcBorders>
              <w:top w:val="nil"/>
              <w:left w:val="nil"/>
              <w:bottom w:val="nil"/>
              <w:right w:val="nil"/>
            </w:tcBorders>
          </w:tcPr>
          <w:p w14:paraId="16D33A73" w14:textId="77777777" w:rsidR="00F163A7" w:rsidRPr="00B424A1" w:rsidRDefault="00F163A7" w:rsidP="0010532B">
            <w:pPr>
              <w:pStyle w:val="NoSpacing"/>
              <w:spacing w:line="276" w:lineRule="auto"/>
              <w:jc w:val="center"/>
            </w:pPr>
            <w:r w:rsidRPr="00B424A1">
              <w:t>12.56 (2.72)</w:t>
            </w:r>
          </w:p>
        </w:tc>
        <w:tc>
          <w:tcPr>
            <w:tcW w:w="1152" w:type="pct"/>
            <w:tcBorders>
              <w:top w:val="nil"/>
              <w:left w:val="nil"/>
              <w:bottom w:val="nil"/>
              <w:right w:val="nil"/>
            </w:tcBorders>
          </w:tcPr>
          <w:p w14:paraId="40760B4B" w14:textId="77777777" w:rsidR="00F163A7" w:rsidRPr="00B424A1" w:rsidRDefault="00F163A7" w:rsidP="0010532B">
            <w:pPr>
              <w:pStyle w:val="NoSpacing"/>
              <w:spacing w:line="276" w:lineRule="auto"/>
              <w:jc w:val="center"/>
            </w:pPr>
            <w:r w:rsidRPr="00B424A1">
              <w:t>12 (6–20)</w:t>
            </w:r>
          </w:p>
        </w:tc>
      </w:tr>
      <w:tr w:rsidR="00B424A1" w:rsidRPr="00B424A1" w14:paraId="148C6013" w14:textId="77777777" w:rsidTr="008A3859">
        <w:trPr>
          <w:trHeight w:val="244"/>
        </w:trPr>
        <w:tc>
          <w:tcPr>
            <w:tcW w:w="2199" w:type="pct"/>
            <w:tcBorders>
              <w:top w:val="nil"/>
              <w:bottom w:val="nil"/>
              <w:right w:val="nil"/>
            </w:tcBorders>
          </w:tcPr>
          <w:p w14:paraId="7EC2F341" w14:textId="77777777" w:rsidR="00F163A7" w:rsidRPr="00B424A1" w:rsidRDefault="00F163A7" w:rsidP="0010532B">
            <w:pPr>
              <w:pStyle w:val="NoSpacing"/>
              <w:spacing w:line="276" w:lineRule="auto"/>
            </w:pPr>
            <w:r w:rsidRPr="00B424A1">
              <w:t xml:space="preserve">Cause of injury </w:t>
            </w:r>
          </w:p>
        </w:tc>
        <w:tc>
          <w:tcPr>
            <w:tcW w:w="550" w:type="pct"/>
            <w:tcBorders>
              <w:top w:val="nil"/>
              <w:left w:val="nil"/>
              <w:bottom w:val="nil"/>
              <w:right w:val="nil"/>
            </w:tcBorders>
          </w:tcPr>
          <w:p w14:paraId="17FB050B" w14:textId="77777777" w:rsidR="00F163A7" w:rsidRPr="00B424A1" w:rsidRDefault="00F163A7" w:rsidP="0010532B">
            <w:pPr>
              <w:pStyle w:val="NoSpacing"/>
              <w:spacing w:line="276" w:lineRule="auto"/>
              <w:jc w:val="center"/>
              <w:rPr>
                <w:rFonts w:ascii="Times New Roman" w:hAnsi="Times New Roman" w:cs="Times New Roman"/>
              </w:rPr>
            </w:pPr>
            <w:r w:rsidRPr="00B424A1">
              <w:rPr>
                <w:rFonts w:ascii="Times New Roman" w:hAnsi="Times New Roman" w:cs="Times New Roman"/>
              </w:rPr>
              <w:t>136</w:t>
            </w:r>
          </w:p>
        </w:tc>
        <w:tc>
          <w:tcPr>
            <w:tcW w:w="1099" w:type="pct"/>
            <w:tcBorders>
              <w:top w:val="nil"/>
              <w:left w:val="nil"/>
              <w:bottom w:val="nil"/>
              <w:right w:val="nil"/>
            </w:tcBorders>
          </w:tcPr>
          <w:p w14:paraId="13FD375D" w14:textId="77777777" w:rsidR="00F163A7" w:rsidRPr="00B424A1" w:rsidRDefault="00F163A7" w:rsidP="0010532B">
            <w:pPr>
              <w:pStyle w:val="NoSpacing"/>
              <w:spacing w:line="276" w:lineRule="auto"/>
              <w:jc w:val="center"/>
            </w:pPr>
          </w:p>
        </w:tc>
        <w:tc>
          <w:tcPr>
            <w:tcW w:w="1152" w:type="pct"/>
            <w:tcBorders>
              <w:top w:val="nil"/>
              <w:left w:val="nil"/>
              <w:bottom w:val="nil"/>
              <w:right w:val="nil"/>
            </w:tcBorders>
          </w:tcPr>
          <w:p w14:paraId="74419F62" w14:textId="77777777" w:rsidR="00F163A7" w:rsidRPr="00B424A1" w:rsidRDefault="00F163A7" w:rsidP="0010532B">
            <w:pPr>
              <w:pStyle w:val="NoSpacing"/>
              <w:spacing w:line="276" w:lineRule="auto"/>
              <w:jc w:val="center"/>
            </w:pPr>
          </w:p>
        </w:tc>
      </w:tr>
      <w:tr w:rsidR="00B424A1" w:rsidRPr="00B424A1" w14:paraId="307906A0" w14:textId="77777777" w:rsidTr="008A3859">
        <w:trPr>
          <w:trHeight w:val="244"/>
        </w:trPr>
        <w:tc>
          <w:tcPr>
            <w:tcW w:w="2199" w:type="pct"/>
            <w:tcBorders>
              <w:top w:val="nil"/>
              <w:bottom w:val="nil"/>
              <w:right w:val="nil"/>
            </w:tcBorders>
          </w:tcPr>
          <w:p w14:paraId="684E7AE9" w14:textId="2E574A71" w:rsidR="00F163A7" w:rsidRPr="00B424A1" w:rsidRDefault="00F163A7" w:rsidP="0010532B">
            <w:pPr>
              <w:pStyle w:val="NoSpacing"/>
              <w:spacing w:line="276" w:lineRule="auto"/>
            </w:pPr>
            <w:r w:rsidRPr="00B424A1">
              <w:t xml:space="preserve">   Motor vehicle </w:t>
            </w:r>
            <w:r w:rsidR="00515E70" w:rsidRPr="00B424A1">
              <w:t>collision</w:t>
            </w:r>
          </w:p>
        </w:tc>
        <w:tc>
          <w:tcPr>
            <w:tcW w:w="550" w:type="pct"/>
            <w:tcBorders>
              <w:top w:val="nil"/>
              <w:left w:val="nil"/>
              <w:bottom w:val="nil"/>
              <w:right w:val="nil"/>
            </w:tcBorders>
          </w:tcPr>
          <w:p w14:paraId="25CE3DD3" w14:textId="77777777" w:rsidR="00F163A7" w:rsidRPr="00B424A1" w:rsidRDefault="00F163A7" w:rsidP="0010532B">
            <w:pPr>
              <w:pStyle w:val="NoSpacing"/>
              <w:spacing w:line="276" w:lineRule="auto"/>
              <w:jc w:val="center"/>
              <w:rPr>
                <w:rFonts w:ascii="Times New Roman" w:hAnsi="Times New Roman" w:cs="Times New Roman"/>
              </w:rPr>
            </w:pPr>
            <w:r w:rsidRPr="00B424A1">
              <w:rPr>
                <w:rFonts w:ascii="Times New Roman" w:hAnsi="Times New Roman" w:cs="Times New Roman"/>
              </w:rPr>
              <w:t>91</w:t>
            </w:r>
          </w:p>
        </w:tc>
        <w:tc>
          <w:tcPr>
            <w:tcW w:w="1099" w:type="pct"/>
            <w:tcBorders>
              <w:top w:val="nil"/>
              <w:left w:val="nil"/>
              <w:bottom w:val="nil"/>
              <w:right w:val="nil"/>
            </w:tcBorders>
          </w:tcPr>
          <w:p w14:paraId="742680D2" w14:textId="77777777" w:rsidR="00F163A7" w:rsidRPr="00996F86" w:rsidRDefault="00F163A7" w:rsidP="0010532B">
            <w:pPr>
              <w:pStyle w:val="NoSpacing"/>
              <w:spacing w:line="276" w:lineRule="auto"/>
              <w:jc w:val="center"/>
            </w:pPr>
            <w:r w:rsidRPr="00996F86">
              <w:t>66.91%</w:t>
            </w:r>
          </w:p>
        </w:tc>
        <w:tc>
          <w:tcPr>
            <w:tcW w:w="1152" w:type="pct"/>
            <w:tcBorders>
              <w:top w:val="nil"/>
              <w:left w:val="nil"/>
              <w:bottom w:val="nil"/>
              <w:right w:val="nil"/>
            </w:tcBorders>
          </w:tcPr>
          <w:p w14:paraId="0428E8D6" w14:textId="77777777" w:rsidR="00F163A7" w:rsidRPr="00B424A1" w:rsidRDefault="00F163A7" w:rsidP="0010532B">
            <w:pPr>
              <w:pStyle w:val="NoSpacing"/>
              <w:spacing w:line="276" w:lineRule="auto"/>
              <w:jc w:val="center"/>
            </w:pPr>
            <w:r w:rsidRPr="00B424A1">
              <w:t>-</w:t>
            </w:r>
          </w:p>
        </w:tc>
      </w:tr>
      <w:tr w:rsidR="00B424A1" w:rsidRPr="00B424A1" w14:paraId="740B5214" w14:textId="77777777" w:rsidTr="008A3859">
        <w:trPr>
          <w:trHeight w:val="244"/>
        </w:trPr>
        <w:tc>
          <w:tcPr>
            <w:tcW w:w="2199" w:type="pct"/>
            <w:tcBorders>
              <w:top w:val="nil"/>
              <w:bottom w:val="nil"/>
              <w:right w:val="nil"/>
            </w:tcBorders>
          </w:tcPr>
          <w:p w14:paraId="2DFFFA66" w14:textId="77777777" w:rsidR="00F163A7" w:rsidRPr="00B424A1" w:rsidRDefault="00F163A7" w:rsidP="0010532B">
            <w:pPr>
              <w:pStyle w:val="NoSpacing"/>
              <w:spacing w:line="276" w:lineRule="auto"/>
            </w:pPr>
            <w:r w:rsidRPr="00B424A1">
              <w:t xml:space="preserve">   Pedestrian hit by motor vehicle</w:t>
            </w:r>
          </w:p>
        </w:tc>
        <w:tc>
          <w:tcPr>
            <w:tcW w:w="550" w:type="pct"/>
            <w:tcBorders>
              <w:top w:val="nil"/>
              <w:left w:val="nil"/>
              <w:bottom w:val="nil"/>
              <w:right w:val="nil"/>
            </w:tcBorders>
          </w:tcPr>
          <w:p w14:paraId="5035DF77" w14:textId="77777777" w:rsidR="00F163A7" w:rsidRPr="00B424A1" w:rsidRDefault="00F163A7" w:rsidP="0010532B">
            <w:pPr>
              <w:pStyle w:val="NoSpacing"/>
              <w:spacing w:line="276" w:lineRule="auto"/>
              <w:jc w:val="center"/>
              <w:rPr>
                <w:rFonts w:ascii="Times New Roman" w:hAnsi="Times New Roman" w:cs="Times New Roman"/>
              </w:rPr>
            </w:pPr>
            <w:r w:rsidRPr="00B424A1">
              <w:rPr>
                <w:rFonts w:ascii="Times New Roman" w:hAnsi="Times New Roman" w:cs="Times New Roman"/>
              </w:rPr>
              <w:t>18</w:t>
            </w:r>
          </w:p>
        </w:tc>
        <w:tc>
          <w:tcPr>
            <w:tcW w:w="1099" w:type="pct"/>
            <w:tcBorders>
              <w:top w:val="nil"/>
              <w:left w:val="nil"/>
              <w:bottom w:val="nil"/>
              <w:right w:val="nil"/>
            </w:tcBorders>
          </w:tcPr>
          <w:p w14:paraId="3DCAABDA" w14:textId="77777777" w:rsidR="00F163A7" w:rsidRPr="00996F86" w:rsidRDefault="00F163A7" w:rsidP="0010532B">
            <w:pPr>
              <w:pStyle w:val="NoSpacing"/>
              <w:spacing w:line="276" w:lineRule="auto"/>
              <w:jc w:val="center"/>
            </w:pPr>
            <w:r w:rsidRPr="00996F86">
              <w:t>13.24%</w:t>
            </w:r>
          </w:p>
        </w:tc>
        <w:tc>
          <w:tcPr>
            <w:tcW w:w="1152" w:type="pct"/>
            <w:tcBorders>
              <w:top w:val="nil"/>
              <w:left w:val="nil"/>
              <w:bottom w:val="nil"/>
              <w:right w:val="nil"/>
            </w:tcBorders>
          </w:tcPr>
          <w:p w14:paraId="232F98F2" w14:textId="77777777" w:rsidR="00F163A7" w:rsidRPr="00B424A1" w:rsidRDefault="00F163A7" w:rsidP="0010532B">
            <w:pPr>
              <w:pStyle w:val="NoSpacing"/>
              <w:spacing w:line="276" w:lineRule="auto"/>
              <w:jc w:val="center"/>
            </w:pPr>
            <w:r w:rsidRPr="00B424A1">
              <w:t>-</w:t>
            </w:r>
          </w:p>
        </w:tc>
      </w:tr>
      <w:tr w:rsidR="00B424A1" w:rsidRPr="00B424A1" w14:paraId="7F04E03A" w14:textId="77777777" w:rsidTr="008A3859">
        <w:trPr>
          <w:trHeight w:val="244"/>
        </w:trPr>
        <w:tc>
          <w:tcPr>
            <w:tcW w:w="2199" w:type="pct"/>
            <w:tcBorders>
              <w:top w:val="nil"/>
              <w:bottom w:val="nil"/>
              <w:right w:val="nil"/>
            </w:tcBorders>
          </w:tcPr>
          <w:p w14:paraId="7158C51F" w14:textId="77777777" w:rsidR="00F163A7" w:rsidRPr="00B424A1" w:rsidRDefault="00F163A7" w:rsidP="0010532B">
            <w:pPr>
              <w:pStyle w:val="NoSpacing"/>
              <w:spacing w:line="276" w:lineRule="auto"/>
            </w:pPr>
            <w:r w:rsidRPr="00B424A1">
              <w:t xml:space="preserve">   Fall</w:t>
            </w:r>
          </w:p>
        </w:tc>
        <w:tc>
          <w:tcPr>
            <w:tcW w:w="550" w:type="pct"/>
            <w:tcBorders>
              <w:top w:val="nil"/>
              <w:left w:val="nil"/>
              <w:bottom w:val="nil"/>
              <w:right w:val="nil"/>
            </w:tcBorders>
          </w:tcPr>
          <w:p w14:paraId="758F19D7" w14:textId="77777777" w:rsidR="00F163A7" w:rsidRPr="00B424A1" w:rsidRDefault="00F163A7" w:rsidP="0010532B">
            <w:pPr>
              <w:pStyle w:val="NoSpacing"/>
              <w:spacing w:line="276" w:lineRule="auto"/>
              <w:jc w:val="center"/>
              <w:rPr>
                <w:rFonts w:ascii="Times New Roman" w:hAnsi="Times New Roman" w:cs="Times New Roman"/>
              </w:rPr>
            </w:pPr>
            <w:r w:rsidRPr="00B424A1">
              <w:rPr>
                <w:rFonts w:ascii="Times New Roman" w:hAnsi="Times New Roman" w:cs="Times New Roman"/>
              </w:rPr>
              <w:t>17</w:t>
            </w:r>
          </w:p>
        </w:tc>
        <w:tc>
          <w:tcPr>
            <w:tcW w:w="1099" w:type="pct"/>
            <w:tcBorders>
              <w:top w:val="nil"/>
              <w:left w:val="nil"/>
              <w:bottom w:val="nil"/>
              <w:right w:val="nil"/>
            </w:tcBorders>
          </w:tcPr>
          <w:p w14:paraId="0DDF3662" w14:textId="77777777" w:rsidR="00F163A7" w:rsidRPr="00996F86" w:rsidRDefault="00F163A7" w:rsidP="0010532B">
            <w:pPr>
              <w:pStyle w:val="NoSpacing"/>
              <w:spacing w:line="276" w:lineRule="auto"/>
              <w:jc w:val="center"/>
            </w:pPr>
            <w:r w:rsidRPr="00996F86">
              <w:t>12.50%</w:t>
            </w:r>
          </w:p>
        </w:tc>
        <w:tc>
          <w:tcPr>
            <w:tcW w:w="1152" w:type="pct"/>
            <w:tcBorders>
              <w:top w:val="nil"/>
              <w:left w:val="nil"/>
              <w:bottom w:val="nil"/>
              <w:right w:val="nil"/>
            </w:tcBorders>
          </w:tcPr>
          <w:p w14:paraId="47360905" w14:textId="77777777" w:rsidR="00F163A7" w:rsidRPr="00B424A1" w:rsidRDefault="00F163A7" w:rsidP="0010532B">
            <w:pPr>
              <w:pStyle w:val="NoSpacing"/>
              <w:spacing w:line="276" w:lineRule="auto"/>
              <w:jc w:val="center"/>
            </w:pPr>
            <w:r w:rsidRPr="00B424A1">
              <w:t>-</w:t>
            </w:r>
          </w:p>
        </w:tc>
      </w:tr>
      <w:tr w:rsidR="00B424A1" w:rsidRPr="00B424A1" w14:paraId="6887ADAA" w14:textId="77777777" w:rsidTr="008A3859">
        <w:trPr>
          <w:trHeight w:val="244"/>
        </w:trPr>
        <w:tc>
          <w:tcPr>
            <w:tcW w:w="2199" w:type="pct"/>
            <w:tcBorders>
              <w:top w:val="nil"/>
              <w:bottom w:val="nil"/>
              <w:right w:val="nil"/>
            </w:tcBorders>
          </w:tcPr>
          <w:p w14:paraId="791B01FC" w14:textId="77777777" w:rsidR="00F163A7" w:rsidRPr="00B424A1" w:rsidRDefault="00F163A7" w:rsidP="0010532B">
            <w:pPr>
              <w:pStyle w:val="NoSpacing"/>
              <w:spacing w:line="276" w:lineRule="auto"/>
            </w:pPr>
            <w:r w:rsidRPr="00B424A1">
              <w:t xml:space="preserve">   Other</w:t>
            </w:r>
          </w:p>
        </w:tc>
        <w:tc>
          <w:tcPr>
            <w:tcW w:w="550" w:type="pct"/>
            <w:tcBorders>
              <w:top w:val="nil"/>
              <w:left w:val="nil"/>
              <w:bottom w:val="nil"/>
              <w:right w:val="nil"/>
            </w:tcBorders>
          </w:tcPr>
          <w:p w14:paraId="1C281690" w14:textId="77777777" w:rsidR="00F163A7" w:rsidRPr="00B424A1" w:rsidRDefault="00F163A7" w:rsidP="0010532B">
            <w:pPr>
              <w:pStyle w:val="NoSpacing"/>
              <w:spacing w:line="276" w:lineRule="auto"/>
              <w:jc w:val="center"/>
              <w:rPr>
                <w:rFonts w:ascii="Times New Roman" w:hAnsi="Times New Roman" w:cs="Times New Roman"/>
              </w:rPr>
            </w:pPr>
            <w:r w:rsidRPr="00B424A1">
              <w:rPr>
                <w:rFonts w:ascii="Times New Roman" w:hAnsi="Times New Roman" w:cs="Times New Roman"/>
              </w:rPr>
              <w:t>10</w:t>
            </w:r>
          </w:p>
        </w:tc>
        <w:tc>
          <w:tcPr>
            <w:tcW w:w="1099" w:type="pct"/>
            <w:tcBorders>
              <w:top w:val="nil"/>
              <w:left w:val="nil"/>
              <w:bottom w:val="nil"/>
              <w:right w:val="nil"/>
            </w:tcBorders>
          </w:tcPr>
          <w:p w14:paraId="48F64916" w14:textId="77777777" w:rsidR="00F163A7" w:rsidRPr="00996F86" w:rsidRDefault="00F163A7" w:rsidP="0010532B">
            <w:pPr>
              <w:pStyle w:val="NoSpacing"/>
              <w:spacing w:line="276" w:lineRule="auto"/>
              <w:jc w:val="center"/>
            </w:pPr>
            <w:r w:rsidRPr="00996F86">
              <w:t>7.35%</w:t>
            </w:r>
          </w:p>
        </w:tc>
        <w:tc>
          <w:tcPr>
            <w:tcW w:w="1152" w:type="pct"/>
            <w:tcBorders>
              <w:top w:val="nil"/>
              <w:left w:val="nil"/>
              <w:bottom w:val="nil"/>
              <w:right w:val="nil"/>
            </w:tcBorders>
          </w:tcPr>
          <w:p w14:paraId="2B5EA25E" w14:textId="77777777" w:rsidR="00F163A7" w:rsidRPr="00B424A1" w:rsidRDefault="00F163A7" w:rsidP="0010532B">
            <w:pPr>
              <w:pStyle w:val="NoSpacing"/>
              <w:spacing w:line="276" w:lineRule="auto"/>
              <w:jc w:val="center"/>
            </w:pPr>
            <w:r w:rsidRPr="00B424A1">
              <w:t>-</w:t>
            </w:r>
          </w:p>
        </w:tc>
      </w:tr>
      <w:tr w:rsidR="00B424A1" w:rsidRPr="00B424A1" w14:paraId="7B64B568" w14:textId="77777777" w:rsidTr="008A3859">
        <w:trPr>
          <w:trHeight w:val="244"/>
        </w:trPr>
        <w:tc>
          <w:tcPr>
            <w:tcW w:w="2199" w:type="pct"/>
            <w:tcBorders>
              <w:top w:val="nil"/>
              <w:bottom w:val="nil"/>
              <w:right w:val="nil"/>
            </w:tcBorders>
          </w:tcPr>
          <w:p w14:paraId="381E3178" w14:textId="77777777" w:rsidR="00F163A7" w:rsidRPr="00996F86" w:rsidRDefault="00F163A7" w:rsidP="0010532B">
            <w:pPr>
              <w:pStyle w:val="NoSpacing"/>
              <w:spacing w:line="276" w:lineRule="auto"/>
            </w:pPr>
            <w:r w:rsidRPr="00996F86">
              <w:rPr>
                <w:rFonts w:ascii="Times New Roman" w:hAnsi="Times New Roman"/>
              </w:rPr>
              <w:t>Time post-injury (years)</w:t>
            </w:r>
          </w:p>
        </w:tc>
        <w:tc>
          <w:tcPr>
            <w:tcW w:w="550" w:type="pct"/>
            <w:tcBorders>
              <w:top w:val="nil"/>
              <w:left w:val="nil"/>
              <w:bottom w:val="nil"/>
              <w:right w:val="nil"/>
            </w:tcBorders>
          </w:tcPr>
          <w:p w14:paraId="795C92D8" w14:textId="77777777" w:rsidR="00F163A7" w:rsidRPr="00996F86" w:rsidRDefault="00F163A7" w:rsidP="0010532B">
            <w:pPr>
              <w:pStyle w:val="NoSpacing"/>
              <w:spacing w:line="276" w:lineRule="auto"/>
              <w:jc w:val="center"/>
              <w:rPr>
                <w:rFonts w:ascii="Times New Roman" w:hAnsi="Times New Roman"/>
              </w:rPr>
            </w:pPr>
            <w:r w:rsidRPr="00996F86">
              <w:rPr>
                <w:rFonts w:ascii="Times New Roman" w:hAnsi="Times New Roman"/>
              </w:rPr>
              <w:t>135</w:t>
            </w:r>
          </w:p>
        </w:tc>
        <w:tc>
          <w:tcPr>
            <w:tcW w:w="1099" w:type="pct"/>
            <w:tcBorders>
              <w:top w:val="nil"/>
              <w:left w:val="nil"/>
              <w:bottom w:val="nil"/>
              <w:right w:val="nil"/>
            </w:tcBorders>
          </w:tcPr>
          <w:p w14:paraId="6F7A68E5" w14:textId="77777777" w:rsidR="00F163A7" w:rsidRPr="00B424A1" w:rsidRDefault="00F163A7" w:rsidP="0010532B">
            <w:pPr>
              <w:pStyle w:val="NoSpacing"/>
              <w:spacing w:line="276" w:lineRule="auto"/>
              <w:jc w:val="center"/>
            </w:pPr>
            <w:r w:rsidRPr="00B424A1">
              <w:t>1.97 (2.68)</w:t>
            </w:r>
          </w:p>
        </w:tc>
        <w:tc>
          <w:tcPr>
            <w:tcW w:w="1152" w:type="pct"/>
            <w:tcBorders>
              <w:top w:val="nil"/>
              <w:left w:val="nil"/>
              <w:bottom w:val="nil"/>
              <w:right w:val="nil"/>
            </w:tcBorders>
          </w:tcPr>
          <w:p w14:paraId="4616FFEB" w14:textId="77777777" w:rsidR="00F163A7" w:rsidRPr="00B424A1" w:rsidRDefault="00F163A7" w:rsidP="0010532B">
            <w:pPr>
              <w:pStyle w:val="NoSpacing"/>
              <w:spacing w:line="276" w:lineRule="auto"/>
              <w:jc w:val="center"/>
            </w:pPr>
            <w:r w:rsidRPr="00B424A1">
              <w:t>1.23 (0.17–25.54)</w:t>
            </w:r>
          </w:p>
        </w:tc>
      </w:tr>
      <w:tr w:rsidR="00B424A1" w:rsidRPr="00B424A1" w14:paraId="4DA501A5" w14:textId="77777777" w:rsidTr="008A3859">
        <w:trPr>
          <w:trHeight w:val="244"/>
        </w:trPr>
        <w:tc>
          <w:tcPr>
            <w:tcW w:w="2199" w:type="pct"/>
            <w:tcBorders>
              <w:top w:val="nil"/>
              <w:bottom w:val="nil"/>
              <w:right w:val="nil"/>
            </w:tcBorders>
          </w:tcPr>
          <w:p w14:paraId="61904B38" w14:textId="77777777" w:rsidR="00F163A7" w:rsidRPr="00B424A1" w:rsidRDefault="00F163A7" w:rsidP="0010532B">
            <w:pPr>
              <w:pStyle w:val="NoSpacing"/>
              <w:spacing w:line="276" w:lineRule="auto"/>
            </w:pPr>
            <w:r w:rsidRPr="00B424A1">
              <w:t>Worst 24-hour GCS score</w:t>
            </w:r>
          </w:p>
        </w:tc>
        <w:tc>
          <w:tcPr>
            <w:tcW w:w="550" w:type="pct"/>
            <w:tcBorders>
              <w:top w:val="nil"/>
              <w:left w:val="nil"/>
              <w:bottom w:val="nil"/>
              <w:right w:val="nil"/>
            </w:tcBorders>
          </w:tcPr>
          <w:p w14:paraId="77A287AB" w14:textId="77777777" w:rsidR="00F163A7" w:rsidRPr="00B424A1" w:rsidRDefault="00F163A7" w:rsidP="0010532B">
            <w:pPr>
              <w:pStyle w:val="NoSpacing"/>
              <w:spacing w:line="276" w:lineRule="auto"/>
              <w:jc w:val="center"/>
              <w:rPr>
                <w:rFonts w:ascii="Times New Roman" w:hAnsi="Times New Roman" w:cs="Times New Roman"/>
              </w:rPr>
            </w:pPr>
            <w:r w:rsidRPr="00B424A1">
              <w:rPr>
                <w:rFonts w:ascii="Times New Roman" w:hAnsi="Times New Roman" w:cs="Times New Roman"/>
              </w:rPr>
              <w:t>128</w:t>
            </w:r>
          </w:p>
        </w:tc>
        <w:tc>
          <w:tcPr>
            <w:tcW w:w="1099" w:type="pct"/>
            <w:tcBorders>
              <w:top w:val="nil"/>
              <w:left w:val="nil"/>
              <w:bottom w:val="nil"/>
              <w:right w:val="nil"/>
            </w:tcBorders>
          </w:tcPr>
          <w:p w14:paraId="313BB3A4" w14:textId="77777777" w:rsidR="00F163A7" w:rsidRPr="00B424A1" w:rsidRDefault="00F163A7" w:rsidP="0010532B">
            <w:pPr>
              <w:pStyle w:val="NoSpacing"/>
              <w:spacing w:line="276" w:lineRule="auto"/>
              <w:jc w:val="center"/>
            </w:pPr>
            <w:r w:rsidRPr="00B424A1">
              <w:t>8.68 (4.33)</w:t>
            </w:r>
          </w:p>
        </w:tc>
        <w:tc>
          <w:tcPr>
            <w:tcW w:w="1152" w:type="pct"/>
            <w:tcBorders>
              <w:top w:val="nil"/>
              <w:left w:val="nil"/>
              <w:bottom w:val="nil"/>
              <w:right w:val="nil"/>
            </w:tcBorders>
          </w:tcPr>
          <w:p w14:paraId="5A67729E" w14:textId="77777777" w:rsidR="00F163A7" w:rsidRPr="00B424A1" w:rsidRDefault="00F163A7" w:rsidP="0010532B">
            <w:pPr>
              <w:pStyle w:val="NoSpacing"/>
              <w:spacing w:line="276" w:lineRule="auto"/>
              <w:jc w:val="center"/>
            </w:pPr>
            <w:r w:rsidRPr="00B424A1">
              <w:t>8.5 (3–15)</w:t>
            </w:r>
          </w:p>
        </w:tc>
      </w:tr>
      <w:tr w:rsidR="00B424A1" w:rsidRPr="00B424A1" w14:paraId="442952FD" w14:textId="77777777" w:rsidTr="008A3859">
        <w:trPr>
          <w:trHeight w:val="244"/>
        </w:trPr>
        <w:tc>
          <w:tcPr>
            <w:tcW w:w="2199" w:type="pct"/>
            <w:tcBorders>
              <w:top w:val="nil"/>
              <w:bottom w:val="nil"/>
              <w:right w:val="nil"/>
            </w:tcBorders>
          </w:tcPr>
          <w:p w14:paraId="4E3D0682" w14:textId="77777777" w:rsidR="00F163A7" w:rsidRPr="00B424A1" w:rsidRDefault="00F163A7" w:rsidP="0010532B">
            <w:pPr>
              <w:spacing w:line="276" w:lineRule="auto"/>
              <w:rPr>
                <w:rFonts w:ascii="Times New Roman" w:hAnsi="Times New Roman" w:cs="Times New Roman"/>
              </w:rPr>
            </w:pPr>
            <w:r w:rsidRPr="00B424A1">
              <w:rPr>
                <w:rFonts w:ascii="Times New Roman" w:hAnsi="Times New Roman" w:cs="Times New Roman"/>
              </w:rPr>
              <w:t xml:space="preserve">   Mild (13</w:t>
            </w:r>
            <w:r w:rsidRPr="00B424A1">
              <w:t>–</w:t>
            </w:r>
            <w:r w:rsidRPr="00B424A1">
              <w:rPr>
                <w:rFonts w:ascii="Times New Roman" w:hAnsi="Times New Roman" w:cs="Times New Roman"/>
              </w:rPr>
              <w:t>15)</w:t>
            </w:r>
          </w:p>
        </w:tc>
        <w:tc>
          <w:tcPr>
            <w:tcW w:w="550" w:type="pct"/>
            <w:tcBorders>
              <w:top w:val="nil"/>
              <w:left w:val="nil"/>
              <w:bottom w:val="nil"/>
              <w:right w:val="nil"/>
            </w:tcBorders>
          </w:tcPr>
          <w:p w14:paraId="162F94D4" w14:textId="77777777" w:rsidR="00F163A7" w:rsidRPr="00B424A1" w:rsidRDefault="00F163A7" w:rsidP="0010532B">
            <w:pPr>
              <w:pStyle w:val="NoSpacing"/>
              <w:spacing w:line="276" w:lineRule="auto"/>
              <w:jc w:val="center"/>
              <w:rPr>
                <w:rFonts w:ascii="Times New Roman" w:hAnsi="Times New Roman" w:cs="Times New Roman"/>
              </w:rPr>
            </w:pPr>
            <w:r w:rsidRPr="00B424A1">
              <w:rPr>
                <w:rFonts w:ascii="Times New Roman" w:hAnsi="Times New Roman" w:cs="Times New Roman"/>
              </w:rPr>
              <w:t>42</w:t>
            </w:r>
          </w:p>
        </w:tc>
        <w:tc>
          <w:tcPr>
            <w:tcW w:w="1099" w:type="pct"/>
            <w:tcBorders>
              <w:top w:val="nil"/>
              <w:left w:val="nil"/>
              <w:bottom w:val="nil"/>
              <w:right w:val="nil"/>
            </w:tcBorders>
          </w:tcPr>
          <w:p w14:paraId="3A6D3633" w14:textId="77777777" w:rsidR="00F163A7" w:rsidRPr="00B424A1" w:rsidRDefault="00F163A7" w:rsidP="0010532B">
            <w:pPr>
              <w:pStyle w:val="NoSpacing"/>
              <w:spacing w:line="276" w:lineRule="auto"/>
              <w:jc w:val="center"/>
            </w:pPr>
            <w:r w:rsidRPr="00B424A1">
              <w:t>32.81%</w:t>
            </w:r>
          </w:p>
        </w:tc>
        <w:tc>
          <w:tcPr>
            <w:tcW w:w="1152" w:type="pct"/>
            <w:tcBorders>
              <w:top w:val="nil"/>
              <w:left w:val="nil"/>
              <w:bottom w:val="nil"/>
              <w:right w:val="nil"/>
            </w:tcBorders>
          </w:tcPr>
          <w:p w14:paraId="0AC50A50" w14:textId="77777777" w:rsidR="00F163A7" w:rsidRPr="00B424A1" w:rsidRDefault="00F163A7" w:rsidP="0010532B">
            <w:pPr>
              <w:pStyle w:val="NoSpacing"/>
              <w:spacing w:line="276" w:lineRule="auto"/>
              <w:jc w:val="center"/>
            </w:pPr>
            <w:r w:rsidRPr="00B424A1">
              <w:t>-</w:t>
            </w:r>
          </w:p>
        </w:tc>
      </w:tr>
      <w:tr w:rsidR="00B424A1" w:rsidRPr="00B424A1" w14:paraId="28942F5F" w14:textId="77777777" w:rsidTr="008A3859">
        <w:trPr>
          <w:trHeight w:val="244"/>
        </w:trPr>
        <w:tc>
          <w:tcPr>
            <w:tcW w:w="2199" w:type="pct"/>
            <w:tcBorders>
              <w:top w:val="nil"/>
              <w:bottom w:val="nil"/>
              <w:right w:val="nil"/>
            </w:tcBorders>
          </w:tcPr>
          <w:p w14:paraId="00618908" w14:textId="77777777" w:rsidR="00F163A7" w:rsidRPr="00B424A1" w:rsidRDefault="00F163A7" w:rsidP="0010532B">
            <w:pPr>
              <w:spacing w:line="276" w:lineRule="auto"/>
              <w:rPr>
                <w:rFonts w:ascii="Times New Roman" w:hAnsi="Times New Roman" w:cs="Times New Roman"/>
              </w:rPr>
            </w:pPr>
            <w:r w:rsidRPr="00B424A1">
              <w:rPr>
                <w:rFonts w:ascii="Times New Roman" w:hAnsi="Times New Roman" w:cs="Times New Roman"/>
              </w:rPr>
              <w:t xml:space="preserve">   Moderate (9</w:t>
            </w:r>
            <w:r w:rsidRPr="00B424A1">
              <w:t>–</w:t>
            </w:r>
            <w:r w:rsidRPr="00B424A1">
              <w:rPr>
                <w:rFonts w:ascii="Times New Roman" w:hAnsi="Times New Roman" w:cs="Times New Roman"/>
              </w:rPr>
              <w:t>12)</w:t>
            </w:r>
          </w:p>
        </w:tc>
        <w:tc>
          <w:tcPr>
            <w:tcW w:w="550" w:type="pct"/>
            <w:tcBorders>
              <w:top w:val="nil"/>
              <w:left w:val="nil"/>
              <w:bottom w:val="nil"/>
              <w:right w:val="nil"/>
            </w:tcBorders>
          </w:tcPr>
          <w:p w14:paraId="38D2B892" w14:textId="77777777" w:rsidR="00F163A7" w:rsidRPr="00B424A1" w:rsidRDefault="00F163A7" w:rsidP="0010532B">
            <w:pPr>
              <w:pStyle w:val="NoSpacing"/>
              <w:spacing w:line="276" w:lineRule="auto"/>
              <w:jc w:val="center"/>
              <w:rPr>
                <w:rFonts w:ascii="Times New Roman" w:hAnsi="Times New Roman" w:cs="Times New Roman"/>
              </w:rPr>
            </w:pPr>
            <w:r w:rsidRPr="00B424A1">
              <w:rPr>
                <w:rFonts w:ascii="Times New Roman" w:hAnsi="Times New Roman" w:cs="Times New Roman"/>
              </w:rPr>
              <w:t>22</w:t>
            </w:r>
          </w:p>
        </w:tc>
        <w:tc>
          <w:tcPr>
            <w:tcW w:w="1099" w:type="pct"/>
            <w:tcBorders>
              <w:top w:val="nil"/>
              <w:left w:val="nil"/>
              <w:bottom w:val="nil"/>
              <w:right w:val="nil"/>
            </w:tcBorders>
          </w:tcPr>
          <w:p w14:paraId="06FF8984" w14:textId="77777777" w:rsidR="00F163A7" w:rsidRPr="00B424A1" w:rsidRDefault="00F163A7" w:rsidP="0010532B">
            <w:pPr>
              <w:pStyle w:val="NoSpacing"/>
              <w:spacing w:line="276" w:lineRule="auto"/>
              <w:jc w:val="center"/>
            </w:pPr>
            <w:r w:rsidRPr="00B424A1">
              <w:t>17.19%</w:t>
            </w:r>
          </w:p>
        </w:tc>
        <w:tc>
          <w:tcPr>
            <w:tcW w:w="1152" w:type="pct"/>
            <w:tcBorders>
              <w:top w:val="nil"/>
              <w:left w:val="nil"/>
              <w:bottom w:val="nil"/>
              <w:right w:val="nil"/>
            </w:tcBorders>
          </w:tcPr>
          <w:p w14:paraId="144B51F7" w14:textId="77777777" w:rsidR="00F163A7" w:rsidRPr="00B424A1" w:rsidRDefault="00F163A7" w:rsidP="0010532B">
            <w:pPr>
              <w:pStyle w:val="NoSpacing"/>
              <w:spacing w:line="276" w:lineRule="auto"/>
              <w:jc w:val="center"/>
            </w:pPr>
            <w:r w:rsidRPr="00B424A1">
              <w:t>-</w:t>
            </w:r>
          </w:p>
        </w:tc>
      </w:tr>
      <w:tr w:rsidR="00B424A1" w:rsidRPr="00B424A1" w14:paraId="6DA35721" w14:textId="77777777" w:rsidTr="008A3859">
        <w:trPr>
          <w:trHeight w:val="244"/>
        </w:trPr>
        <w:tc>
          <w:tcPr>
            <w:tcW w:w="2199" w:type="pct"/>
            <w:tcBorders>
              <w:top w:val="nil"/>
              <w:bottom w:val="nil"/>
              <w:right w:val="nil"/>
            </w:tcBorders>
          </w:tcPr>
          <w:p w14:paraId="57EA23A8" w14:textId="77777777" w:rsidR="00F163A7" w:rsidRPr="00B424A1" w:rsidRDefault="00F163A7" w:rsidP="0010532B">
            <w:pPr>
              <w:spacing w:line="276" w:lineRule="auto"/>
              <w:rPr>
                <w:rFonts w:ascii="Times New Roman" w:hAnsi="Times New Roman" w:cs="Times New Roman"/>
              </w:rPr>
            </w:pPr>
            <w:r w:rsidRPr="00B424A1">
              <w:rPr>
                <w:rFonts w:ascii="Times New Roman" w:hAnsi="Times New Roman" w:cs="Times New Roman"/>
              </w:rPr>
              <w:t xml:space="preserve">   Severe (3</w:t>
            </w:r>
            <w:r w:rsidRPr="00B424A1">
              <w:t>–</w:t>
            </w:r>
            <w:r w:rsidRPr="00B424A1">
              <w:rPr>
                <w:rFonts w:ascii="Times New Roman" w:hAnsi="Times New Roman" w:cs="Times New Roman"/>
              </w:rPr>
              <w:t>8)</w:t>
            </w:r>
          </w:p>
        </w:tc>
        <w:tc>
          <w:tcPr>
            <w:tcW w:w="550" w:type="pct"/>
            <w:tcBorders>
              <w:top w:val="nil"/>
              <w:left w:val="nil"/>
              <w:bottom w:val="nil"/>
              <w:right w:val="nil"/>
            </w:tcBorders>
          </w:tcPr>
          <w:p w14:paraId="4C66BD32" w14:textId="77777777" w:rsidR="00F163A7" w:rsidRPr="00B424A1" w:rsidRDefault="00F163A7" w:rsidP="0010532B">
            <w:pPr>
              <w:pStyle w:val="NoSpacing"/>
              <w:spacing w:line="276" w:lineRule="auto"/>
              <w:jc w:val="center"/>
              <w:rPr>
                <w:rFonts w:ascii="Times New Roman" w:hAnsi="Times New Roman" w:cs="Times New Roman"/>
              </w:rPr>
            </w:pPr>
            <w:r w:rsidRPr="00B424A1">
              <w:rPr>
                <w:rFonts w:ascii="Times New Roman" w:hAnsi="Times New Roman" w:cs="Times New Roman"/>
              </w:rPr>
              <w:t>64</w:t>
            </w:r>
          </w:p>
        </w:tc>
        <w:tc>
          <w:tcPr>
            <w:tcW w:w="1099" w:type="pct"/>
            <w:tcBorders>
              <w:top w:val="nil"/>
              <w:left w:val="nil"/>
              <w:bottom w:val="nil"/>
              <w:right w:val="nil"/>
            </w:tcBorders>
          </w:tcPr>
          <w:p w14:paraId="1C7506DA" w14:textId="77777777" w:rsidR="00F163A7" w:rsidRPr="00B424A1" w:rsidRDefault="00F163A7" w:rsidP="0010532B">
            <w:pPr>
              <w:pStyle w:val="NoSpacing"/>
              <w:spacing w:line="276" w:lineRule="auto"/>
              <w:jc w:val="center"/>
            </w:pPr>
            <w:r w:rsidRPr="00B424A1">
              <w:t>50.00%</w:t>
            </w:r>
          </w:p>
        </w:tc>
        <w:tc>
          <w:tcPr>
            <w:tcW w:w="1152" w:type="pct"/>
            <w:tcBorders>
              <w:top w:val="nil"/>
              <w:left w:val="nil"/>
              <w:bottom w:val="nil"/>
              <w:right w:val="nil"/>
            </w:tcBorders>
          </w:tcPr>
          <w:p w14:paraId="50948AF2" w14:textId="77777777" w:rsidR="00F163A7" w:rsidRPr="00B424A1" w:rsidRDefault="00F163A7" w:rsidP="0010532B">
            <w:pPr>
              <w:pStyle w:val="NoSpacing"/>
              <w:spacing w:line="276" w:lineRule="auto"/>
              <w:jc w:val="center"/>
            </w:pPr>
            <w:r w:rsidRPr="00B424A1">
              <w:t>-</w:t>
            </w:r>
          </w:p>
        </w:tc>
      </w:tr>
      <w:tr w:rsidR="00B424A1" w:rsidRPr="00B424A1" w14:paraId="59B7E1E5" w14:textId="77777777" w:rsidTr="008A3859">
        <w:trPr>
          <w:trHeight w:val="244"/>
        </w:trPr>
        <w:tc>
          <w:tcPr>
            <w:tcW w:w="2199" w:type="pct"/>
            <w:tcBorders>
              <w:top w:val="nil"/>
              <w:bottom w:val="nil"/>
              <w:right w:val="nil"/>
            </w:tcBorders>
          </w:tcPr>
          <w:p w14:paraId="2E527870" w14:textId="77777777" w:rsidR="00F163A7" w:rsidRPr="00B424A1" w:rsidRDefault="00F163A7" w:rsidP="0010532B">
            <w:pPr>
              <w:pStyle w:val="NoSpacing"/>
              <w:spacing w:line="276" w:lineRule="auto"/>
            </w:pPr>
            <w:r w:rsidRPr="00B424A1">
              <w:t>PTA duration (days)</w:t>
            </w:r>
          </w:p>
        </w:tc>
        <w:tc>
          <w:tcPr>
            <w:tcW w:w="550" w:type="pct"/>
            <w:tcBorders>
              <w:top w:val="nil"/>
              <w:left w:val="nil"/>
              <w:bottom w:val="nil"/>
              <w:right w:val="nil"/>
            </w:tcBorders>
          </w:tcPr>
          <w:p w14:paraId="2CE32672" w14:textId="77777777" w:rsidR="00F163A7" w:rsidRPr="00B424A1" w:rsidRDefault="00F163A7" w:rsidP="0010532B">
            <w:pPr>
              <w:pStyle w:val="NoSpacing"/>
              <w:spacing w:line="276" w:lineRule="auto"/>
              <w:jc w:val="center"/>
              <w:rPr>
                <w:rFonts w:ascii="Times New Roman" w:hAnsi="Times New Roman" w:cs="Times New Roman"/>
              </w:rPr>
            </w:pPr>
            <w:r w:rsidRPr="00B424A1">
              <w:rPr>
                <w:rFonts w:ascii="Times New Roman" w:hAnsi="Times New Roman" w:cs="Times New Roman"/>
              </w:rPr>
              <w:t>127</w:t>
            </w:r>
          </w:p>
        </w:tc>
        <w:tc>
          <w:tcPr>
            <w:tcW w:w="1099" w:type="pct"/>
            <w:tcBorders>
              <w:top w:val="nil"/>
              <w:left w:val="nil"/>
              <w:bottom w:val="nil"/>
              <w:right w:val="nil"/>
            </w:tcBorders>
          </w:tcPr>
          <w:p w14:paraId="2146C160" w14:textId="77777777" w:rsidR="00F163A7" w:rsidRPr="00B424A1" w:rsidRDefault="00F163A7" w:rsidP="0010532B">
            <w:pPr>
              <w:pStyle w:val="NoSpacing"/>
              <w:spacing w:line="276" w:lineRule="auto"/>
              <w:jc w:val="center"/>
            </w:pPr>
            <w:r w:rsidRPr="00B424A1">
              <w:t>23.14 (23.04)</w:t>
            </w:r>
          </w:p>
        </w:tc>
        <w:tc>
          <w:tcPr>
            <w:tcW w:w="1152" w:type="pct"/>
            <w:tcBorders>
              <w:top w:val="nil"/>
              <w:left w:val="nil"/>
              <w:bottom w:val="nil"/>
              <w:right w:val="nil"/>
            </w:tcBorders>
          </w:tcPr>
          <w:p w14:paraId="3275512C" w14:textId="77777777" w:rsidR="00F163A7" w:rsidRPr="00B424A1" w:rsidRDefault="00F163A7" w:rsidP="0010532B">
            <w:pPr>
              <w:pStyle w:val="NoSpacing"/>
              <w:spacing w:line="276" w:lineRule="auto"/>
              <w:jc w:val="center"/>
            </w:pPr>
            <w:r w:rsidRPr="00B424A1">
              <w:t>18 (0 – 121)</w:t>
            </w:r>
          </w:p>
        </w:tc>
      </w:tr>
      <w:tr w:rsidR="00B424A1" w:rsidRPr="00B424A1" w14:paraId="6F8FBD4A" w14:textId="77777777" w:rsidTr="008A3859">
        <w:trPr>
          <w:trHeight w:val="244"/>
        </w:trPr>
        <w:tc>
          <w:tcPr>
            <w:tcW w:w="2199" w:type="pct"/>
            <w:tcBorders>
              <w:top w:val="nil"/>
              <w:bottom w:val="nil"/>
              <w:right w:val="nil"/>
            </w:tcBorders>
          </w:tcPr>
          <w:p w14:paraId="7E61F105" w14:textId="77777777" w:rsidR="00F163A7" w:rsidRPr="00B424A1" w:rsidRDefault="00F163A7" w:rsidP="0010532B">
            <w:pPr>
              <w:pStyle w:val="NoSpacing"/>
              <w:spacing w:line="276" w:lineRule="auto"/>
            </w:pPr>
            <w:r w:rsidRPr="00B424A1">
              <w:rPr>
                <w:rFonts w:ascii="Times New Roman" w:hAnsi="Times New Roman" w:cs="Times New Roman"/>
              </w:rPr>
              <w:t xml:space="preserve">   Mild (&lt;</w:t>
            </w:r>
            <m:oMath>
              <m:r>
                <w:rPr>
                  <w:rFonts w:ascii="Cambria Math" w:hAnsi="Cambria Math" w:cs="Times New Roman"/>
                </w:rPr>
                <m:t xml:space="preserve"> </m:t>
              </m:r>
            </m:oMath>
            <w:r w:rsidRPr="00B424A1">
              <w:rPr>
                <w:rFonts w:ascii="Times New Roman" w:hAnsi="Times New Roman" w:cs="Times New Roman"/>
              </w:rPr>
              <w:t>24 hours)</w:t>
            </w:r>
          </w:p>
        </w:tc>
        <w:tc>
          <w:tcPr>
            <w:tcW w:w="550" w:type="pct"/>
            <w:tcBorders>
              <w:top w:val="nil"/>
              <w:left w:val="nil"/>
              <w:bottom w:val="nil"/>
              <w:right w:val="nil"/>
            </w:tcBorders>
          </w:tcPr>
          <w:p w14:paraId="0E683D10" w14:textId="77777777" w:rsidR="00F163A7" w:rsidRPr="00B424A1" w:rsidRDefault="00F163A7" w:rsidP="0010532B">
            <w:pPr>
              <w:pStyle w:val="NoSpacing"/>
              <w:spacing w:line="276" w:lineRule="auto"/>
              <w:jc w:val="center"/>
              <w:rPr>
                <w:rFonts w:ascii="Times New Roman" w:hAnsi="Times New Roman" w:cs="Times New Roman"/>
              </w:rPr>
            </w:pPr>
            <w:r w:rsidRPr="00B424A1">
              <w:rPr>
                <w:rFonts w:ascii="Times New Roman" w:hAnsi="Times New Roman" w:cs="Times New Roman"/>
              </w:rPr>
              <w:t>2</w:t>
            </w:r>
          </w:p>
        </w:tc>
        <w:tc>
          <w:tcPr>
            <w:tcW w:w="1099" w:type="pct"/>
            <w:tcBorders>
              <w:top w:val="nil"/>
              <w:left w:val="nil"/>
              <w:bottom w:val="nil"/>
              <w:right w:val="nil"/>
            </w:tcBorders>
          </w:tcPr>
          <w:p w14:paraId="4FFB462F" w14:textId="77777777" w:rsidR="00F163A7" w:rsidRPr="00B424A1" w:rsidRDefault="00F163A7" w:rsidP="0010532B">
            <w:pPr>
              <w:pStyle w:val="NoSpacing"/>
              <w:spacing w:line="276" w:lineRule="auto"/>
              <w:jc w:val="center"/>
            </w:pPr>
            <w:r w:rsidRPr="00B424A1">
              <w:t>1.57%</w:t>
            </w:r>
          </w:p>
        </w:tc>
        <w:tc>
          <w:tcPr>
            <w:tcW w:w="1152" w:type="pct"/>
            <w:tcBorders>
              <w:top w:val="nil"/>
              <w:left w:val="nil"/>
              <w:bottom w:val="nil"/>
              <w:right w:val="nil"/>
            </w:tcBorders>
          </w:tcPr>
          <w:p w14:paraId="75C05BD4" w14:textId="77777777" w:rsidR="00F163A7" w:rsidRPr="00B424A1" w:rsidRDefault="00F163A7" w:rsidP="0010532B">
            <w:pPr>
              <w:pStyle w:val="NoSpacing"/>
              <w:spacing w:line="276" w:lineRule="auto"/>
              <w:jc w:val="center"/>
            </w:pPr>
            <w:r w:rsidRPr="00B424A1">
              <w:t>-</w:t>
            </w:r>
          </w:p>
        </w:tc>
      </w:tr>
      <w:tr w:rsidR="00B424A1" w:rsidRPr="00B424A1" w14:paraId="296424F1" w14:textId="77777777" w:rsidTr="008A3859">
        <w:trPr>
          <w:trHeight w:val="244"/>
        </w:trPr>
        <w:tc>
          <w:tcPr>
            <w:tcW w:w="2199" w:type="pct"/>
            <w:tcBorders>
              <w:top w:val="nil"/>
              <w:bottom w:val="nil"/>
              <w:right w:val="nil"/>
            </w:tcBorders>
          </w:tcPr>
          <w:p w14:paraId="785DA1A9" w14:textId="77777777" w:rsidR="00F163A7" w:rsidRPr="00B424A1" w:rsidRDefault="00F163A7" w:rsidP="0010532B">
            <w:pPr>
              <w:spacing w:line="276" w:lineRule="auto"/>
              <w:rPr>
                <w:rFonts w:ascii="Times New Roman" w:hAnsi="Times New Roman" w:cs="Times New Roman"/>
              </w:rPr>
            </w:pPr>
            <w:r w:rsidRPr="00B424A1">
              <w:rPr>
                <w:rFonts w:ascii="Times New Roman" w:hAnsi="Times New Roman" w:cs="Times New Roman"/>
              </w:rPr>
              <w:t xml:space="preserve">   Moderate (1</w:t>
            </w:r>
            <w:r w:rsidRPr="00B424A1">
              <w:t>–</w:t>
            </w:r>
            <w:r w:rsidRPr="00B424A1">
              <w:rPr>
                <w:rFonts w:ascii="Times New Roman" w:hAnsi="Times New Roman" w:cs="Times New Roman"/>
              </w:rPr>
              <w:t>7 days)</w:t>
            </w:r>
          </w:p>
        </w:tc>
        <w:tc>
          <w:tcPr>
            <w:tcW w:w="550" w:type="pct"/>
            <w:tcBorders>
              <w:top w:val="nil"/>
              <w:left w:val="nil"/>
              <w:bottom w:val="nil"/>
              <w:right w:val="nil"/>
            </w:tcBorders>
          </w:tcPr>
          <w:p w14:paraId="3B0FD23F" w14:textId="77777777" w:rsidR="00F163A7" w:rsidRPr="00B424A1" w:rsidRDefault="00F163A7" w:rsidP="0010532B">
            <w:pPr>
              <w:pStyle w:val="NoSpacing"/>
              <w:spacing w:line="276" w:lineRule="auto"/>
              <w:jc w:val="center"/>
              <w:rPr>
                <w:rFonts w:ascii="Times New Roman" w:hAnsi="Times New Roman" w:cs="Times New Roman"/>
              </w:rPr>
            </w:pPr>
            <w:r w:rsidRPr="00B424A1">
              <w:rPr>
                <w:rFonts w:ascii="Times New Roman" w:hAnsi="Times New Roman" w:cs="Times New Roman"/>
              </w:rPr>
              <w:t>34</w:t>
            </w:r>
          </w:p>
        </w:tc>
        <w:tc>
          <w:tcPr>
            <w:tcW w:w="1099" w:type="pct"/>
            <w:tcBorders>
              <w:top w:val="nil"/>
              <w:left w:val="nil"/>
              <w:bottom w:val="nil"/>
              <w:right w:val="nil"/>
            </w:tcBorders>
          </w:tcPr>
          <w:p w14:paraId="69018C7B" w14:textId="77777777" w:rsidR="00F163A7" w:rsidRPr="00B424A1" w:rsidRDefault="00F163A7" w:rsidP="0010532B">
            <w:pPr>
              <w:pStyle w:val="NoSpacing"/>
              <w:spacing w:line="276" w:lineRule="auto"/>
              <w:jc w:val="center"/>
            </w:pPr>
            <w:r w:rsidRPr="00B424A1">
              <w:t>26.77%</w:t>
            </w:r>
          </w:p>
        </w:tc>
        <w:tc>
          <w:tcPr>
            <w:tcW w:w="1152" w:type="pct"/>
            <w:tcBorders>
              <w:top w:val="nil"/>
              <w:left w:val="nil"/>
              <w:bottom w:val="nil"/>
              <w:right w:val="nil"/>
            </w:tcBorders>
          </w:tcPr>
          <w:p w14:paraId="7B774377" w14:textId="77777777" w:rsidR="00F163A7" w:rsidRPr="00B424A1" w:rsidRDefault="00F163A7" w:rsidP="0010532B">
            <w:pPr>
              <w:pStyle w:val="NoSpacing"/>
              <w:spacing w:line="276" w:lineRule="auto"/>
              <w:jc w:val="center"/>
            </w:pPr>
            <w:r w:rsidRPr="00B424A1">
              <w:t>-</w:t>
            </w:r>
          </w:p>
        </w:tc>
      </w:tr>
      <w:tr w:rsidR="00B424A1" w:rsidRPr="00B424A1" w14:paraId="644D6CC6" w14:textId="77777777" w:rsidTr="008A3859">
        <w:trPr>
          <w:trHeight w:val="244"/>
        </w:trPr>
        <w:tc>
          <w:tcPr>
            <w:tcW w:w="2199" w:type="pct"/>
            <w:tcBorders>
              <w:top w:val="nil"/>
              <w:bottom w:val="nil"/>
              <w:right w:val="nil"/>
            </w:tcBorders>
          </w:tcPr>
          <w:p w14:paraId="01E9FD02" w14:textId="77777777" w:rsidR="00F163A7" w:rsidRPr="00996F86" w:rsidRDefault="00F163A7" w:rsidP="0010532B">
            <w:pPr>
              <w:spacing w:line="276" w:lineRule="auto"/>
              <w:rPr>
                <w:rFonts w:ascii="Times New Roman" w:hAnsi="Times New Roman"/>
              </w:rPr>
            </w:pPr>
            <w:r w:rsidRPr="00996F86">
              <w:rPr>
                <w:rFonts w:ascii="Times New Roman" w:hAnsi="Times New Roman"/>
              </w:rPr>
              <w:t xml:space="preserve">   Severe (&gt; 7 days)</w:t>
            </w:r>
          </w:p>
        </w:tc>
        <w:tc>
          <w:tcPr>
            <w:tcW w:w="550" w:type="pct"/>
            <w:tcBorders>
              <w:top w:val="nil"/>
              <w:left w:val="nil"/>
              <w:bottom w:val="nil"/>
              <w:right w:val="nil"/>
            </w:tcBorders>
          </w:tcPr>
          <w:p w14:paraId="089BE5D6" w14:textId="77777777" w:rsidR="00F163A7" w:rsidRPr="00996F86" w:rsidRDefault="00F163A7" w:rsidP="0010532B">
            <w:pPr>
              <w:pStyle w:val="NoSpacing"/>
              <w:spacing w:line="276" w:lineRule="auto"/>
              <w:jc w:val="center"/>
              <w:rPr>
                <w:rFonts w:ascii="Times New Roman" w:hAnsi="Times New Roman"/>
              </w:rPr>
            </w:pPr>
            <w:r w:rsidRPr="00996F86">
              <w:rPr>
                <w:rFonts w:ascii="Times New Roman" w:hAnsi="Times New Roman"/>
              </w:rPr>
              <w:t>91</w:t>
            </w:r>
          </w:p>
        </w:tc>
        <w:tc>
          <w:tcPr>
            <w:tcW w:w="1099" w:type="pct"/>
            <w:tcBorders>
              <w:top w:val="nil"/>
              <w:left w:val="nil"/>
              <w:bottom w:val="nil"/>
              <w:right w:val="nil"/>
            </w:tcBorders>
          </w:tcPr>
          <w:p w14:paraId="5FCCE762" w14:textId="77777777" w:rsidR="00F163A7" w:rsidRPr="00996F86" w:rsidRDefault="00F163A7" w:rsidP="0010532B">
            <w:pPr>
              <w:pStyle w:val="NoSpacing"/>
              <w:spacing w:line="276" w:lineRule="auto"/>
              <w:jc w:val="center"/>
            </w:pPr>
            <w:r w:rsidRPr="00996F86">
              <w:t>71.65%</w:t>
            </w:r>
          </w:p>
        </w:tc>
        <w:tc>
          <w:tcPr>
            <w:tcW w:w="1152" w:type="pct"/>
            <w:tcBorders>
              <w:top w:val="nil"/>
              <w:left w:val="nil"/>
              <w:bottom w:val="nil"/>
              <w:right w:val="nil"/>
            </w:tcBorders>
          </w:tcPr>
          <w:p w14:paraId="52D5849D" w14:textId="77777777" w:rsidR="00F163A7" w:rsidRPr="00B424A1" w:rsidRDefault="00F163A7" w:rsidP="0010532B">
            <w:pPr>
              <w:pStyle w:val="NoSpacing"/>
              <w:spacing w:line="276" w:lineRule="auto"/>
              <w:jc w:val="center"/>
            </w:pPr>
            <w:r w:rsidRPr="00B424A1">
              <w:t>-</w:t>
            </w:r>
          </w:p>
        </w:tc>
      </w:tr>
      <w:tr w:rsidR="00B424A1" w:rsidRPr="00B424A1" w14:paraId="4AF56789" w14:textId="77777777" w:rsidTr="008A3859">
        <w:trPr>
          <w:trHeight w:val="244"/>
        </w:trPr>
        <w:tc>
          <w:tcPr>
            <w:tcW w:w="2199" w:type="pct"/>
            <w:tcBorders>
              <w:top w:val="nil"/>
              <w:bottom w:val="nil"/>
              <w:right w:val="nil"/>
            </w:tcBorders>
          </w:tcPr>
          <w:p w14:paraId="0952DDCC" w14:textId="77777777" w:rsidR="00F163A7" w:rsidRPr="00996F86" w:rsidRDefault="00F163A7" w:rsidP="0010532B">
            <w:pPr>
              <w:spacing w:line="276" w:lineRule="auto"/>
              <w:rPr>
                <w:rFonts w:ascii="Times New Roman" w:hAnsi="Times New Roman"/>
              </w:rPr>
            </w:pPr>
            <w:r w:rsidRPr="00996F86">
              <w:t>CT brain result</w:t>
            </w:r>
          </w:p>
        </w:tc>
        <w:tc>
          <w:tcPr>
            <w:tcW w:w="550" w:type="pct"/>
            <w:tcBorders>
              <w:top w:val="nil"/>
              <w:left w:val="nil"/>
              <w:bottom w:val="nil"/>
              <w:right w:val="nil"/>
            </w:tcBorders>
          </w:tcPr>
          <w:p w14:paraId="4B1383DF" w14:textId="77777777" w:rsidR="00F163A7" w:rsidRPr="00996F86" w:rsidRDefault="00F163A7" w:rsidP="0010532B">
            <w:pPr>
              <w:pStyle w:val="NoSpacing"/>
              <w:spacing w:line="276" w:lineRule="auto"/>
              <w:jc w:val="center"/>
              <w:rPr>
                <w:rFonts w:ascii="Times New Roman" w:hAnsi="Times New Roman"/>
              </w:rPr>
            </w:pPr>
            <w:r w:rsidRPr="00996F86">
              <w:rPr>
                <w:rFonts w:ascii="Times New Roman" w:hAnsi="Times New Roman"/>
              </w:rPr>
              <w:t>124</w:t>
            </w:r>
          </w:p>
        </w:tc>
        <w:tc>
          <w:tcPr>
            <w:tcW w:w="1099" w:type="pct"/>
            <w:tcBorders>
              <w:top w:val="nil"/>
              <w:left w:val="nil"/>
              <w:bottom w:val="nil"/>
              <w:right w:val="nil"/>
            </w:tcBorders>
          </w:tcPr>
          <w:p w14:paraId="46B6D4A8" w14:textId="77777777" w:rsidR="00F163A7" w:rsidRPr="00996F86" w:rsidRDefault="00F163A7" w:rsidP="0010532B">
            <w:pPr>
              <w:pStyle w:val="NoSpacing"/>
              <w:spacing w:line="276" w:lineRule="auto"/>
              <w:jc w:val="center"/>
            </w:pPr>
          </w:p>
        </w:tc>
        <w:tc>
          <w:tcPr>
            <w:tcW w:w="1152" w:type="pct"/>
            <w:tcBorders>
              <w:top w:val="nil"/>
              <w:left w:val="nil"/>
              <w:bottom w:val="nil"/>
              <w:right w:val="nil"/>
            </w:tcBorders>
          </w:tcPr>
          <w:p w14:paraId="6F091848" w14:textId="77777777" w:rsidR="00F163A7" w:rsidRPr="00B424A1" w:rsidRDefault="00F163A7" w:rsidP="0010532B">
            <w:pPr>
              <w:pStyle w:val="NoSpacing"/>
              <w:spacing w:line="276" w:lineRule="auto"/>
              <w:jc w:val="center"/>
            </w:pPr>
            <w:r w:rsidRPr="00B424A1">
              <w:t xml:space="preserve"> </w:t>
            </w:r>
          </w:p>
        </w:tc>
      </w:tr>
      <w:tr w:rsidR="00B424A1" w:rsidRPr="00B424A1" w14:paraId="4C887B0A" w14:textId="77777777" w:rsidTr="008A3859">
        <w:trPr>
          <w:trHeight w:val="244"/>
        </w:trPr>
        <w:tc>
          <w:tcPr>
            <w:tcW w:w="2199" w:type="pct"/>
            <w:tcBorders>
              <w:top w:val="nil"/>
              <w:bottom w:val="nil"/>
              <w:right w:val="nil"/>
            </w:tcBorders>
          </w:tcPr>
          <w:p w14:paraId="4391C378" w14:textId="77777777" w:rsidR="00F163A7" w:rsidRPr="00996F86" w:rsidRDefault="00F163A7" w:rsidP="0010532B">
            <w:pPr>
              <w:spacing w:line="276" w:lineRule="auto"/>
            </w:pPr>
            <w:r w:rsidRPr="00996F86">
              <w:t xml:space="preserve">   Intracranial abnormality present</w:t>
            </w:r>
          </w:p>
        </w:tc>
        <w:tc>
          <w:tcPr>
            <w:tcW w:w="550" w:type="pct"/>
            <w:tcBorders>
              <w:top w:val="nil"/>
              <w:left w:val="nil"/>
              <w:bottom w:val="nil"/>
              <w:right w:val="nil"/>
            </w:tcBorders>
          </w:tcPr>
          <w:p w14:paraId="4A049E1F" w14:textId="77777777" w:rsidR="00F163A7" w:rsidRPr="00996F86" w:rsidRDefault="00F163A7" w:rsidP="0010532B">
            <w:pPr>
              <w:pStyle w:val="NoSpacing"/>
              <w:spacing w:line="276" w:lineRule="auto"/>
              <w:jc w:val="center"/>
              <w:rPr>
                <w:rFonts w:ascii="Times New Roman" w:hAnsi="Times New Roman"/>
              </w:rPr>
            </w:pPr>
            <w:r w:rsidRPr="00996F86">
              <w:rPr>
                <w:rFonts w:ascii="Times New Roman" w:hAnsi="Times New Roman"/>
              </w:rPr>
              <w:t>115</w:t>
            </w:r>
          </w:p>
        </w:tc>
        <w:tc>
          <w:tcPr>
            <w:tcW w:w="1099" w:type="pct"/>
            <w:tcBorders>
              <w:top w:val="nil"/>
              <w:left w:val="nil"/>
              <w:bottom w:val="nil"/>
              <w:right w:val="nil"/>
            </w:tcBorders>
          </w:tcPr>
          <w:p w14:paraId="2E32E8B3" w14:textId="77777777" w:rsidR="00F163A7" w:rsidRPr="00996F86" w:rsidRDefault="00F163A7" w:rsidP="0010532B">
            <w:pPr>
              <w:pStyle w:val="NoSpacing"/>
              <w:spacing w:line="276" w:lineRule="auto"/>
              <w:jc w:val="center"/>
            </w:pPr>
            <w:r w:rsidRPr="00996F86">
              <w:t>92.74%</w:t>
            </w:r>
          </w:p>
        </w:tc>
        <w:tc>
          <w:tcPr>
            <w:tcW w:w="1152" w:type="pct"/>
            <w:tcBorders>
              <w:top w:val="nil"/>
              <w:left w:val="nil"/>
              <w:bottom w:val="nil"/>
              <w:right w:val="nil"/>
            </w:tcBorders>
          </w:tcPr>
          <w:p w14:paraId="7215E1E8" w14:textId="77777777" w:rsidR="00F163A7" w:rsidRPr="00B424A1" w:rsidRDefault="00F163A7" w:rsidP="0010532B">
            <w:pPr>
              <w:pStyle w:val="NoSpacing"/>
              <w:spacing w:line="276" w:lineRule="auto"/>
              <w:jc w:val="center"/>
            </w:pPr>
            <w:r w:rsidRPr="00B424A1">
              <w:t>-</w:t>
            </w:r>
          </w:p>
        </w:tc>
      </w:tr>
      <w:tr w:rsidR="00B424A1" w:rsidRPr="00B424A1" w14:paraId="29614238" w14:textId="77777777" w:rsidTr="008A3859">
        <w:trPr>
          <w:trHeight w:val="244"/>
        </w:trPr>
        <w:tc>
          <w:tcPr>
            <w:tcW w:w="2199" w:type="pct"/>
            <w:tcBorders>
              <w:top w:val="nil"/>
              <w:bottom w:val="single" w:sz="12" w:space="0" w:color="auto"/>
              <w:right w:val="nil"/>
            </w:tcBorders>
          </w:tcPr>
          <w:p w14:paraId="2AE50EEB" w14:textId="77777777" w:rsidR="00F163A7" w:rsidRPr="00996F86" w:rsidRDefault="00F163A7" w:rsidP="0010532B">
            <w:pPr>
              <w:spacing w:line="276" w:lineRule="auto"/>
            </w:pPr>
            <w:r w:rsidRPr="00996F86">
              <w:t xml:space="preserve">   No intracranial abnormality found</w:t>
            </w:r>
          </w:p>
        </w:tc>
        <w:tc>
          <w:tcPr>
            <w:tcW w:w="550" w:type="pct"/>
            <w:tcBorders>
              <w:top w:val="nil"/>
              <w:left w:val="nil"/>
              <w:bottom w:val="single" w:sz="12" w:space="0" w:color="auto"/>
              <w:right w:val="nil"/>
            </w:tcBorders>
          </w:tcPr>
          <w:p w14:paraId="307A1082" w14:textId="77777777" w:rsidR="00F163A7" w:rsidRPr="00996F86" w:rsidRDefault="00F163A7" w:rsidP="0010532B">
            <w:pPr>
              <w:pStyle w:val="NoSpacing"/>
              <w:spacing w:line="276" w:lineRule="auto"/>
              <w:jc w:val="center"/>
              <w:rPr>
                <w:rFonts w:ascii="Times New Roman" w:hAnsi="Times New Roman"/>
              </w:rPr>
            </w:pPr>
            <w:r w:rsidRPr="00996F86">
              <w:rPr>
                <w:rFonts w:ascii="Times New Roman" w:hAnsi="Times New Roman"/>
              </w:rPr>
              <w:t>9</w:t>
            </w:r>
          </w:p>
        </w:tc>
        <w:tc>
          <w:tcPr>
            <w:tcW w:w="1099" w:type="pct"/>
            <w:tcBorders>
              <w:top w:val="nil"/>
              <w:left w:val="nil"/>
              <w:bottom w:val="single" w:sz="12" w:space="0" w:color="auto"/>
              <w:right w:val="nil"/>
            </w:tcBorders>
          </w:tcPr>
          <w:p w14:paraId="55D81B79" w14:textId="77777777" w:rsidR="00F163A7" w:rsidRPr="00996F86" w:rsidRDefault="00F163A7" w:rsidP="0010532B">
            <w:pPr>
              <w:pStyle w:val="NoSpacing"/>
              <w:spacing w:line="276" w:lineRule="auto"/>
              <w:jc w:val="center"/>
            </w:pPr>
            <w:r w:rsidRPr="00996F86">
              <w:t>7.26%</w:t>
            </w:r>
          </w:p>
        </w:tc>
        <w:tc>
          <w:tcPr>
            <w:tcW w:w="1152" w:type="pct"/>
            <w:tcBorders>
              <w:top w:val="nil"/>
              <w:left w:val="nil"/>
              <w:bottom w:val="single" w:sz="12" w:space="0" w:color="auto"/>
              <w:right w:val="nil"/>
            </w:tcBorders>
          </w:tcPr>
          <w:p w14:paraId="5EA2DF66" w14:textId="77777777" w:rsidR="00F163A7" w:rsidRPr="00B424A1" w:rsidRDefault="00F163A7" w:rsidP="0010532B">
            <w:pPr>
              <w:pStyle w:val="NoSpacing"/>
              <w:spacing w:line="276" w:lineRule="auto"/>
              <w:jc w:val="center"/>
            </w:pPr>
            <w:r w:rsidRPr="00B424A1">
              <w:t>-</w:t>
            </w:r>
          </w:p>
        </w:tc>
      </w:tr>
    </w:tbl>
    <w:p w14:paraId="133622FB" w14:textId="77777777" w:rsidR="00F163A7" w:rsidRPr="00B424A1" w:rsidRDefault="00F163A7" w:rsidP="00F163A7">
      <w:pPr>
        <w:spacing w:line="276" w:lineRule="auto"/>
        <w:ind w:firstLine="0"/>
        <w:rPr>
          <w:rFonts w:ascii="Times New Roman" w:hAnsi="Times New Roman" w:cs="Times New Roman"/>
        </w:rPr>
      </w:pPr>
      <w:r w:rsidRPr="00B424A1">
        <w:rPr>
          <w:rFonts w:ascii="Times New Roman" w:hAnsi="Times New Roman" w:cs="Times New Roman"/>
          <w:i/>
          <w:iCs/>
        </w:rPr>
        <w:t xml:space="preserve">Note. </w:t>
      </w:r>
      <w:r w:rsidRPr="00B424A1">
        <w:rPr>
          <w:rFonts w:ascii="Times New Roman" w:hAnsi="Times New Roman" w:cs="Times New Roman"/>
        </w:rPr>
        <w:t>M = mean; SD = standard deviation; GCS = Glasgow Coma Scale; PTA = post-traumatic amnesia; CT = computed tomography.</w:t>
      </w:r>
    </w:p>
    <w:p w14:paraId="1E6AF619" w14:textId="77777777" w:rsidR="006E6F62" w:rsidRPr="00B424A1" w:rsidRDefault="006E6F62" w:rsidP="00F163A7"/>
    <w:p w14:paraId="723F6909" w14:textId="7704F2FA" w:rsidR="006E6F62" w:rsidRPr="00B424A1" w:rsidRDefault="006E6F62" w:rsidP="00274C9C">
      <w:pPr>
        <w:ind w:firstLine="0"/>
      </w:pPr>
    </w:p>
    <w:p w14:paraId="41C413F5" w14:textId="77777777" w:rsidR="003C066E" w:rsidRPr="00B424A1" w:rsidRDefault="003C066E" w:rsidP="00780D7E">
      <w:pPr>
        <w:pStyle w:val="TableFigure"/>
        <w:spacing w:before="0"/>
        <w:ind w:firstLine="720"/>
        <w:rPr>
          <w:lang w:val="en-GB"/>
        </w:rPr>
      </w:pPr>
    </w:p>
    <w:p w14:paraId="0C26AE67" w14:textId="77777777" w:rsidR="00AD0196" w:rsidRDefault="00AD0196" w:rsidP="00996F86">
      <w:pPr>
        <w:pStyle w:val="TableFigure"/>
        <w:spacing w:before="0" w:line="276" w:lineRule="auto"/>
        <w:rPr>
          <w:b/>
          <w:bCs/>
        </w:rPr>
      </w:pPr>
      <w:bookmarkStart w:id="66" w:name="_Toc86046793"/>
      <w:bookmarkStart w:id="67" w:name="_Toc86047034"/>
      <w:bookmarkStart w:id="68" w:name="_Toc86047161"/>
      <w:bookmarkStart w:id="69" w:name="_Toc86047217"/>
      <w:r>
        <w:rPr>
          <w:b/>
          <w:bCs/>
        </w:rPr>
        <w:br w:type="page"/>
      </w:r>
    </w:p>
    <w:p w14:paraId="35A9854D" w14:textId="37748532" w:rsidR="00F163A7" w:rsidRPr="00B424A1" w:rsidRDefault="00F163A7" w:rsidP="00996F86">
      <w:pPr>
        <w:pStyle w:val="TableFigure"/>
        <w:spacing w:before="0" w:line="276" w:lineRule="auto"/>
        <w:rPr>
          <w:b/>
          <w:bCs/>
        </w:rPr>
      </w:pPr>
      <w:r w:rsidRPr="00B424A1">
        <w:rPr>
          <w:b/>
          <w:bCs/>
        </w:rPr>
        <w:lastRenderedPageBreak/>
        <w:t>Table 3</w:t>
      </w:r>
    </w:p>
    <w:p w14:paraId="436BA886" w14:textId="77777777" w:rsidR="00F163A7" w:rsidRPr="00996F86" w:rsidRDefault="00F163A7" w:rsidP="006E6F62">
      <w:pPr>
        <w:pStyle w:val="TableFigure"/>
        <w:spacing w:line="276" w:lineRule="auto"/>
        <w:rPr>
          <w:i/>
        </w:rPr>
      </w:pPr>
      <w:r w:rsidRPr="00996F86">
        <w:rPr>
          <w:i/>
        </w:rPr>
        <w:t>DASS Descriptive Statistics (n = 136)</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18"/>
        <w:gridCol w:w="1559"/>
        <w:gridCol w:w="851"/>
        <w:gridCol w:w="992"/>
        <w:gridCol w:w="850"/>
        <w:gridCol w:w="1276"/>
        <w:gridCol w:w="851"/>
        <w:gridCol w:w="1229"/>
      </w:tblGrid>
      <w:tr w:rsidR="00B424A1" w:rsidRPr="00B424A1" w14:paraId="4BD2F7A4" w14:textId="77777777" w:rsidTr="0010532B">
        <w:trPr>
          <w:trHeight w:val="669"/>
        </w:trPr>
        <w:tc>
          <w:tcPr>
            <w:tcW w:w="1418" w:type="dxa"/>
            <w:tcBorders>
              <w:top w:val="single" w:sz="4" w:space="0" w:color="auto"/>
              <w:bottom w:val="single" w:sz="4" w:space="0" w:color="auto"/>
            </w:tcBorders>
          </w:tcPr>
          <w:p w14:paraId="142CF672" w14:textId="77777777" w:rsidR="00F163A7" w:rsidRPr="00B424A1" w:rsidRDefault="00F163A7" w:rsidP="0010532B">
            <w:pPr>
              <w:pStyle w:val="TableFigure"/>
              <w:spacing w:line="276" w:lineRule="auto"/>
              <w:rPr>
                <w:sz w:val="23"/>
                <w:szCs w:val="23"/>
              </w:rPr>
            </w:pPr>
            <w:r w:rsidRPr="00B424A1">
              <w:rPr>
                <w:sz w:val="23"/>
                <w:szCs w:val="23"/>
              </w:rPr>
              <w:t>DASS score</w:t>
            </w:r>
          </w:p>
        </w:tc>
        <w:tc>
          <w:tcPr>
            <w:tcW w:w="1559" w:type="dxa"/>
            <w:tcBorders>
              <w:top w:val="single" w:sz="4" w:space="0" w:color="auto"/>
              <w:bottom w:val="single" w:sz="4" w:space="0" w:color="auto"/>
            </w:tcBorders>
          </w:tcPr>
          <w:p w14:paraId="1BF73E1F" w14:textId="77777777" w:rsidR="00F163A7" w:rsidRPr="00B424A1" w:rsidRDefault="00F163A7" w:rsidP="0010532B">
            <w:pPr>
              <w:pStyle w:val="TableFigure"/>
              <w:spacing w:line="276" w:lineRule="auto"/>
              <w:jc w:val="center"/>
              <w:rPr>
                <w:sz w:val="23"/>
                <w:szCs w:val="23"/>
              </w:rPr>
            </w:pPr>
            <w:r w:rsidRPr="00B424A1">
              <w:rPr>
                <w:sz w:val="23"/>
                <w:szCs w:val="23"/>
              </w:rPr>
              <w:t xml:space="preserve">M </w:t>
            </w:r>
            <w:r w:rsidRPr="00B424A1">
              <w:rPr>
                <w:i/>
                <w:iCs/>
                <w:sz w:val="23"/>
                <w:szCs w:val="23"/>
              </w:rPr>
              <w:t>(SD)</w:t>
            </w:r>
          </w:p>
        </w:tc>
        <w:tc>
          <w:tcPr>
            <w:tcW w:w="851" w:type="dxa"/>
            <w:tcBorders>
              <w:top w:val="single" w:sz="4" w:space="0" w:color="auto"/>
              <w:bottom w:val="single" w:sz="4" w:space="0" w:color="auto"/>
            </w:tcBorders>
          </w:tcPr>
          <w:p w14:paraId="7716E268" w14:textId="77777777" w:rsidR="00F163A7" w:rsidRPr="00B424A1" w:rsidRDefault="00F163A7" w:rsidP="0010532B">
            <w:pPr>
              <w:pStyle w:val="TableFigure"/>
              <w:spacing w:line="276" w:lineRule="auto"/>
              <w:jc w:val="center"/>
              <w:rPr>
                <w:sz w:val="23"/>
                <w:szCs w:val="23"/>
              </w:rPr>
            </w:pPr>
            <w:r w:rsidRPr="00B424A1">
              <w:rPr>
                <w:sz w:val="23"/>
                <w:szCs w:val="23"/>
              </w:rPr>
              <w:t>Range</w:t>
            </w:r>
          </w:p>
        </w:tc>
        <w:tc>
          <w:tcPr>
            <w:tcW w:w="992" w:type="dxa"/>
            <w:tcBorders>
              <w:top w:val="single" w:sz="4" w:space="0" w:color="auto"/>
              <w:bottom w:val="single" w:sz="4" w:space="0" w:color="auto"/>
            </w:tcBorders>
          </w:tcPr>
          <w:p w14:paraId="43F8A3FF" w14:textId="77777777" w:rsidR="00F163A7" w:rsidRPr="00B424A1" w:rsidRDefault="00F163A7" w:rsidP="0010532B">
            <w:pPr>
              <w:pStyle w:val="TableFigure"/>
              <w:spacing w:line="276" w:lineRule="auto"/>
              <w:jc w:val="center"/>
              <w:rPr>
                <w:sz w:val="23"/>
                <w:szCs w:val="23"/>
              </w:rPr>
            </w:pPr>
            <w:r w:rsidRPr="00B424A1">
              <w:rPr>
                <w:sz w:val="23"/>
                <w:szCs w:val="23"/>
              </w:rPr>
              <w:t>Normal (%)</w:t>
            </w:r>
          </w:p>
        </w:tc>
        <w:tc>
          <w:tcPr>
            <w:tcW w:w="850" w:type="dxa"/>
            <w:tcBorders>
              <w:top w:val="single" w:sz="4" w:space="0" w:color="auto"/>
              <w:bottom w:val="single" w:sz="4" w:space="0" w:color="auto"/>
            </w:tcBorders>
          </w:tcPr>
          <w:p w14:paraId="34B83CFD" w14:textId="77777777" w:rsidR="00F163A7" w:rsidRPr="00B424A1" w:rsidRDefault="00F163A7" w:rsidP="0010532B">
            <w:pPr>
              <w:pStyle w:val="TableFigure"/>
              <w:spacing w:line="276" w:lineRule="auto"/>
              <w:jc w:val="center"/>
              <w:rPr>
                <w:sz w:val="23"/>
                <w:szCs w:val="23"/>
              </w:rPr>
            </w:pPr>
            <w:r w:rsidRPr="00B424A1">
              <w:rPr>
                <w:sz w:val="23"/>
                <w:szCs w:val="23"/>
              </w:rPr>
              <w:t>Mild (%)</w:t>
            </w:r>
          </w:p>
        </w:tc>
        <w:tc>
          <w:tcPr>
            <w:tcW w:w="1276" w:type="dxa"/>
            <w:tcBorders>
              <w:top w:val="single" w:sz="4" w:space="0" w:color="auto"/>
              <w:bottom w:val="single" w:sz="4" w:space="0" w:color="auto"/>
            </w:tcBorders>
          </w:tcPr>
          <w:p w14:paraId="1B08771A" w14:textId="77777777" w:rsidR="00F163A7" w:rsidRPr="00B424A1" w:rsidRDefault="00F163A7" w:rsidP="0010532B">
            <w:pPr>
              <w:pStyle w:val="TableFigure"/>
              <w:spacing w:line="276" w:lineRule="auto"/>
              <w:jc w:val="center"/>
              <w:rPr>
                <w:sz w:val="23"/>
                <w:szCs w:val="23"/>
              </w:rPr>
            </w:pPr>
            <w:r w:rsidRPr="00B424A1">
              <w:rPr>
                <w:sz w:val="23"/>
                <w:szCs w:val="23"/>
              </w:rPr>
              <w:t>Moderate (%)</w:t>
            </w:r>
          </w:p>
        </w:tc>
        <w:tc>
          <w:tcPr>
            <w:tcW w:w="851" w:type="dxa"/>
            <w:tcBorders>
              <w:top w:val="single" w:sz="4" w:space="0" w:color="auto"/>
              <w:bottom w:val="single" w:sz="4" w:space="0" w:color="auto"/>
            </w:tcBorders>
          </w:tcPr>
          <w:p w14:paraId="2ECDD4F9" w14:textId="77777777" w:rsidR="00F163A7" w:rsidRPr="00B424A1" w:rsidRDefault="00F163A7" w:rsidP="0010532B">
            <w:pPr>
              <w:pStyle w:val="TableFigure"/>
              <w:spacing w:line="276" w:lineRule="auto"/>
              <w:jc w:val="center"/>
              <w:rPr>
                <w:sz w:val="23"/>
                <w:szCs w:val="23"/>
              </w:rPr>
            </w:pPr>
            <w:r w:rsidRPr="00B424A1">
              <w:rPr>
                <w:sz w:val="23"/>
                <w:szCs w:val="23"/>
              </w:rPr>
              <w:t>Severe (%)</w:t>
            </w:r>
          </w:p>
        </w:tc>
        <w:tc>
          <w:tcPr>
            <w:tcW w:w="1229" w:type="dxa"/>
            <w:tcBorders>
              <w:top w:val="single" w:sz="4" w:space="0" w:color="auto"/>
              <w:bottom w:val="single" w:sz="4" w:space="0" w:color="auto"/>
            </w:tcBorders>
          </w:tcPr>
          <w:p w14:paraId="29701499" w14:textId="77777777" w:rsidR="00F163A7" w:rsidRPr="00B424A1" w:rsidRDefault="00F163A7" w:rsidP="0010532B">
            <w:pPr>
              <w:pStyle w:val="TableFigure"/>
              <w:spacing w:line="276" w:lineRule="auto"/>
              <w:jc w:val="center"/>
              <w:rPr>
                <w:sz w:val="23"/>
                <w:szCs w:val="23"/>
              </w:rPr>
            </w:pPr>
            <w:r w:rsidRPr="00B424A1">
              <w:rPr>
                <w:sz w:val="23"/>
                <w:szCs w:val="23"/>
              </w:rPr>
              <w:t>Extremely Severe (%)</w:t>
            </w:r>
          </w:p>
        </w:tc>
      </w:tr>
      <w:tr w:rsidR="00B424A1" w:rsidRPr="00B424A1" w14:paraId="2028D23A" w14:textId="77777777" w:rsidTr="0010532B">
        <w:trPr>
          <w:trHeight w:val="156"/>
        </w:trPr>
        <w:tc>
          <w:tcPr>
            <w:tcW w:w="1418" w:type="dxa"/>
            <w:tcBorders>
              <w:top w:val="single" w:sz="4" w:space="0" w:color="auto"/>
            </w:tcBorders>
            <w:vAlign w:val="center"/>
          </w:tcPr>
          <w:p w14:paraId="7773220C" w14:textId="77777777" w:rsidR="00F163A7" w:rsidRPr="00B424A1" w:rsidRDefault="00F163A7" w:rsidP="0010532B">
            <w:pPr>
              <w:pStyle w:val="TableFigure"/>
              <w:spacing w:before="0" w:line="276" w:lineRule="auto"/>
            </w:pPr>
            <w:r w:rsidRPr="00B424A1">
              <w:t>DASS21</w:t>
            </w:r>
          </w:p>
        </w:tc>
        <w:tc>
          <w:tcPr>
            <w:tcW w:w="1559" w:type="dxa"/>
            <w:tcBorders>
              <w:top w:val="single" w:sz="4" w:space="0" w:color="auto"/>
            </w:tcBorders>
            <w:vAlign w:val="bottom"/>
          </w:tcPr>
          <w:p w14:paraId="16EE0D8A" w14:textId="77777777" w:rsidR="00F163A7" w:rsidRPr="00B424A1" w:rsidRDefault="00F163A7" w:rsidP="0010532B">
            <w:pPr>
              <w:pStyle w:val="TableFigure"/>
              <w:spacing w:before="0" w:line="276" w:lineRule="auto"/>
            </w:pPr>
          </w:p>
        </w:tc>
        <w:tc>
          <w:tcPr>
            <w:tcW w:w="851" w:type="dxa"/>
            <w:tcBorders>
              <w:top w:val="single" w:sz="4" w:space="0" w:color="auto"/>
            </w:tcBorders>
            <w:vAlign w:val="bottom"/>
          </w:tcPr>
          <w:p w14:paraId="458A1F41" w14:textId="77777777" w:rsidR="00F163A7" w:rsidRPr="00B424A1" w:rsidRDefault="00F163A7" w:rsidP="0010532B">
            <w:pPr>
              <w:pStyle w:val="TableFigure"/>
              <w:spacing w:before="0" w:line="276" w:lineRule="auto"/>
            </w:pPr>
          </w:p>
        </w:tc>
        <w:tc>
          <w:tcPr>
            <w:tcW w:w="992" w:type="dxa"/>
            <w:tcBorders>
              <w:top w:val="single" w:sz="4" w:space="0" w:color="auto"/>
            </w:tcBorders>
            <w:vAlign w:val="bottom"/>
          </w:tcPr>
          <w:p w14:paraId="5EDDDC53" w14:textId="77777777" w:rsidR="00F163A7" w:rsidRPr="00B424A1" w:rsidRDefault="00F163A7" w:rsidP="0010532B">
            <w:pPr>
              <w:pStyle w:val="TableFigure"/>
              <w:spacing w:before="0" w:line="276" w:lineRule="auto"/>
            </w:pPr>
          </w:p>
        </w:tc>
        <w:tc>
          <w:tcPr>
            <w:tcW w:w="850" w:type="dxa"/>
            <w:tcBorders>
              <w:top w:val="single" w:sz="4" w:space="0" w:color="auto"/>
            </w:tcBorders>
            <w:vAlign w:val="bottom"/>
          </w:tcPr>
          <w:p w14:paraId="005A4295" w14:textId="77777777" w:rsidR="00F163A7" w:rsidRPr="00B424A1" w:rsidRDefault="00F163A7" w:rsidP="0010532B">
            <w:pPr>
              <w:pStyle w:val="TableFigure"/>
              <w:spacing w:before="0" w:line="276" w:lineRule="auto"/>
            </w:pPr>
          </w:p>
        </w:tc>
        <w:tc>
          <w:tcPr>
            <w:tcW w:w="1276" w:type="dxa"/>
            <w:tcBorders>
              <w:top w:val="single" w:sz="4" w:space="0" w:color="auto"/>
            </w:tcBorders>
            <w:vAlign w:val="bottom"/>
          </w:tcPr>
          <w:p w14:paraId="21B90D39" w14:textId="77777777" w:rsidR="00F163A7" w:rsidRPr="00B424A1" w:rsidRDefault="00F163A7" w:rsidP="0010532B">
            <w:pPr>
              <w:pStyle w:val="TableFigure"/>
              <w:spacing w:before="0" w:line="276" w:lineRule="auto"/>
            </w:pPr>
          </w:p>
        </w:tc>
        <w:tc>
          <w:tcPr>
            <w:tcW w:w="851" w:type="dxa"/>
            <w:tcBorders>
              <w:top w:val="single" w:sz="4" w:space="0" w:color="auto"/>
            </w:tcBorders>
            <w:vAlign w:val="bottom"/>
          </w:tcPr>
          <w:p w14:paraId="533CF4EF" w14:textId="77777777" w:rsidR="00F163A7" w:rsidRPr="00B424A1" w:rsidRDefault="00F163A7" w:rsidP="0010532B">
            <w:pPr>
              <w:pStyle w:val="TableFigure"/>
              <w:spacing w:before="0" w:line="276" w:lineRule="auto"/>
            </w:pPr>
          </w:p>
        </w:tc>
        <w:tc>
          <w:tcPr>
            <w:tcW w:w="1229" w:type="dxa"/>
            <w:tcBorders>
              <w:top w:val="single" w:sz="4" w:space="0" w:color="auto"/>
            </w:tcBorders>
            <w:vAlign w:val="bottom"/>
          </w:tcPr>
          <w:p w14:paraId="648D6A03" w14:textId="77777777" w:rsidR="00F163A7" w:rsidRPr="00B424A1" w:rsidRDefault="00F163A7" w:rsidP="0010532B">
            <w:pPr>
              <w:pStyle w:val="TableFigure"/>
              <w:spacing w:before="0" w:line="276" w:lineRule="auto"/>
            </w:pPr>
          </w:p>
        </w:tc>
      </w:tr>
      <w:tr w:rsidR="00B424A1" w:rsidRPr="00B424A1" w14:paraId="5B69D3CE" w14:textId="77777777" w:rsidTr="0010532B">
        <w:tc>
          <w:tcPr>
            <w:tcW w:w="1418" w:type="dxa"/>
            <w:vAlign w:val="center"/>
          </w:tcPr>
          <w:p w14:paraId="5915CC71" w14:textId="77777777" w:rsidR="00F163A7" w:rsidRPr="00996F86" w:rsidRDefault="00F163A7" w:rsidP="0010532B">
            <w:pPr>
              <w:pStyle w:val="TableFigure"/>
              <w:spacing w:before="0" w:line="276" w:lineRule="auto"/>
            </w:pPr>
            <w:r w:rsidRPr="00996F86">
              <w:t xml:space="preserve">  Depression</w:t>
            </w:r>
          </w:p>
        </w:tc>
        <w:tc>
          <w:tcPr>
            <w:tcW w:w="1559" w:type="dxa"/>
            <w:vAlign w:val="bottom"/>
          </w:tcPr>
          <w:p w14:paraId="3450EEEE" w14:textId="77777777" w:rsidR="00F163A7" w:rsidRPr="00996F86" w:rsidRDefault="00F163A7" w:rsidP="0010532B">
            <w:pPr>
              <w:pStyle w:val="TableFigure"/>
              <w:spacing w:before="0" w:line="276" w:lineRule="auto"/>
              <w:jc w:val="center"/>
            </w:pPr>
            <w:r w:rsidRPr="00996F86">
              <w:rPr>
                <w:rFonts w:ascii="Times New Roman" w:hAnsi="Times New Roman"/>
              </w:rPr>
              <w:t>12.10 (11.37)</w:t>
            </w:r>
          </w:p>
        </w:tc>
        <w:tc>
          <w:tcPr>
            <w:tcW w:w="851" w:type="dxa"/>
            <w:vAlign w:val="bottom"/>
          </w:tcPr>
          <w:p w14:paraId="1FEAFF2C" w14:textId="77777777" w:rsidR="00F163A7" w:rsidRPr="00B424A1" w:rsidRDefault="00F163A7" w:rsidP="0010532B">
            <w:pPr>
              <w:pStyle w:val="TableFigure"/>
              <w:spacing w:before="0" w:line="276" w:lineRule="auto"/>
              <w:jc w:val="center"/>
            </w:pPr>
            <w:r w:rsidRPr="00B424A1">
              <w:rPr>
                <w:rFonts w:ascii="Times New Roman" w:hAnsi="Times New Roman" w:cs="Times New Roman"/>
              </w:rPr>
              <w:t>0–42</w:t>
            </w:r>
          </w:p>
        </w:tc>
        <w:tc>
          <w:tcPr>
            <w:tcW w:w="992" w:type="dxa"/>
            <w:vAlign w:val="bottom"/>
          </w:tcPr>
          <w:p w14:paraId="154C053E" w14:textId="77777777" w:rsidR="00F163A7" w:rsidRPr="00996F86" w:rsidRDefault="00F163A7" w:rsidP="0010532B">
            <w:pPr>
              <w:pStyle w:val="TableFigure"/>
              <w:spacing w:before="0" w:line="276" w:lineRule="auto"/>
              <w:jc w:val="center"/>
            </w:pPr>
            <w:r w:rsidRPr="00996F86">
              <w:t>50.74</w:t>
            </w:r>
          </w:p>
        </w:tc>
        <w:tc>
          <w:tcPr>
            <w:tcW w:w="850" w:type="dxa"/>
            <w:vAlign w:val="bottom"/>
          </w:tcPr>
          <w:p w14:paraId="2071CF3A" w14:textId="77777777" w:rsidR="00F163A7" w:rsidRPr="00996F86" w:rsidRDefault="00F163A7" w:rsidP="0010532B">
            <w:pPr>
              <w:pStyle w:val="TableFigure"/>
              <w:spacing w:before="0" w:line="276" w:lineRule="auto"/>
              <w:jc w:val="center"/>
            </w:pPr>
            <w:r w:rsidRPr="00996F86">
              <w:t>8.09</w:t>
            </w:r>
          </w:p>
        </w:tc>
        <w:tc>
          <w:tcPr>
            <w:tcW w:w="1276" w:type="dxa"/>
            <w:vAlign w:val="bottom"/>
          </w:tcPr>
          <w:p w14:paraId="4927A449" w14:textId="77777777" w:rsidR="00F163A7" w:rsidRPr="00996F86" w:rsidRDefault="00F163A7" w:rsidP="0010532B">
            <w:pPr>
              <w:pStyle w:val="TableFigure"/>
              <w:spacing w:before="0" w:line="276" w:lineRule="auto"/>
              <w:jc w:val="center"/>
            </w:pPr>
            <w:r w:rsidRPr="00996F86">
              <w:t>17.65</w:t>
            </w:r>
          </w:p>
        </w:tc>
        <w:tc>
          <w:tcPr>
            <w:tcW w:w="851" w:type="dxa"/>
            <w:vAlign w:val="bottom"/>
          </w:tcPr>
          <w:p w14:paraId="10D6518D" w14:textId="77777777" w:rsidR="00F163A7" w:rsidRPr="00996F86" w:rsidRDefault="00F163A7" w:rsidP="0010532B">
            <w:pPr>
              <w:pStyle w:val="TableFigure"/>
              <w:spacing w:before="0" w:line="276" w:lineRule="auto"/>
              <w:jc w:val="center"/>
            </w:pPr>
            <w:r w:rsidRPr="00996F86">
              <w:t>9.56</w:t>
            </w:r>
          </w:p>
        </w:tc>
        <w:tc>
          <w:tcPr>
            <w:tcW w:w="1229" w:type="dxa"/>
            <w:vAlign w:val="bottom"/>
          </w:tcPr>
          <w:p w14:paraId="09033736" w14:textId="77777777" w:rsidR="00F163A7" w:rsidRPr="00996F86" w:rsidRDefault="00F163A7" w:rsidP="0010532B">
            <w:pPr>
              <w:pStyle w:val="TableFigure"/>
              <w:spacing w:before="0" w:line="276" w:lineRule="auto"/>
              <w:jc w:val="center"/>
            </w:pPr>
            <w:r w:rsidRPr="00996F86">
              <w:t>13.97</w:t>
            </w:r>
          </w:p>
        </w:tc>
      </w:tr>
      <w:tr w:rsidR="00B424A1" w:rsidRPr="00B424A1" w14:paraId="2D897965" w14:textId="77777777" w:rsidTr="0010532B">
        <w:tc>
          <w:tcPr>
            <w:tcW w:w="1418" w:type="dxa"/>
            <w:vAlign w:val="center"/>
          </w:tcPr>
          <w:p w14:paraId="05EF60BA" w14:textId="77777777" w:rsidR="00F163A7" w:rsidRPr="00996F86" w:rsidRDefault="00F163A7" w:rsidP="0010532B">
            <w:pPr>
              <w:pStyle w:val="TableFigure"/>
              <w:spacing w:before="0" w:line="276" w:lineRule="auto"/>
            </w:pPr>
            <w:r w:rsidRPr="00996F86">
              <w:t xml:space="preserve">   Anxiety</w:t>
            </w:r>
          </w:p>
        </w:tc>
        <w:tc>
          <w:tcPr>
            <w:tcW w:w="1559" w:type="dxa"/>
            <w:vAlign w:val="bottom"/>
          </w:tcPr>
          <w:p w14:paraId="4B5E7FB5" w14:textId="77777777" w:rsidR="00F163A7" w:rsidRPr="00996F86" w:rsidRDefault="00F163A7" w:rsidP="0010532B">
            <w:pPr>
              <w:pStyle w:val="TableFigure"/>
              <w:spacing w:before="0" w:line="276" w:lineRule="auto"/>
              <w:jc w:val="center"/>
            </w:pPr>
            <w:r w:rsidRPr="00996F86">
              <w:rPr>
                <w:rFonts w:ascii="Times New Roman" w:hAnsi="Times New Roman"/>
              </w:rPr>
              <w:t>7.96 (8.40)</w:t>
            </w:r>
          </w:p>
        </w:tc>
        <w:tc>
          <w:tcPr>
            <w:tcW w:w="851" w:type="dxa"/>
            <w:vAlign w:val="bottom"/>
          </w:tcPr>
          <w:p w14:paraId="03562F2E" w14:textId="77777777" w:rsidR="00F163A7" w:rsidRPr="00B424A1" w:rsidRDefault="00F163A7" w:rsidP="0010532B">
            <w:pPr>
              <w:pStyle w:val="TableFigure"/>
              <w:spacing w:before="0" w:line="276" w:lineRule="auto"/>
              <w:jc w:val="center"/>
            </w:pPr>
            <w:r w:rsidRPr="00B424A1">
              <w:rPr>
                <w:rFonts w:ascii="Times New Roman" w:hAnsi="Times New Roman" w:cs="Times New Roman"/>
              </w:rPr>
              <w:t>0–36</w:t>
            </w:r>
          </w:p>
        </w:tc>
        <w:tc>
          <w:tcPr>
            <w:tcW w:w="992" w:type="dxa"/>
            <w:vAlign w:val="bottom"/>
          </w:tcPr>
          <w:p w14:paraId="1C5CA4D2" w14:textId="77777777" w:rsidR="00F163A7" w:rsidRPr="00996F86" w:rsidRDefault="00F163A7" w:rsidP="0010532B">
            <w:pPr>
              <w:pStyle w:val="TableFigure"/>
              <w:spacing w:before="0" w:line="276" w:lineRule="auto"/>
              <w:jc w:val="center"/>
            </w:pPr>
            <w:r w:rsidRPr="00996F86">
              <w:t>55.15</w:t>
            </w:r>
          </w:p>
        </w:tc>
        <w:tc>
          <w:tcPr>
            <w:tcW w:w="850" w:type="dxa"/>
            <w:vAlign w:val="bottom"/>
          </w:tcPr>
          <w:p w14:paraId="292BCD1B" w14:textId="77777777" w:rsidR="00F163A7" w:rsidRPr="00996F86" w:rsidRDefault="00F163A7" w:rsidP="0010532B">
            <w:pPr>
              <w:pStyle w:val="TableFigure"/>
              <w:spacing w:before="0" w:line="276" w:lineRule="auto"/>
              <w:jc w:val="center"/>
            </w:pPr>
            <w:r w:rsidRPr="00996F86">
              <w:t>8.82</w:t>
            </w:r>
          </w:p>
        </w:tc>
        <w:tc>
          <w:tcPr>
            <w:tcW w:w="1276" w:type="dxa"/>
            <w:vAlign w:val="bottom"/>
          </w:tcPr>
          <w:p w14:paraId="10683CDC" w14:textId="77777777" w:rsidR="00F163A7" w:rsidRPr="00996F86" w:rsidRDefault="00F163A7" w:rsidP="0010532B">
            <w:pPr>
              <w:pStyle w:val="TableFigure"/>
              <w:spacing w:before="0" w:line="276" w:lineRule="auto"/>
              <w:jc w:val="center"/>
            </w:pPr>
            <w:r w:rsidRPr="00996F86">
              <w:t>19.85</w:t>
            </w:r>
          </w:p>
        </w:tc>
        <w:tc>
          <w:tcPr>
            <w:tcW w:w="851" w:type="dxa"/>
            <w:vAlign w:val="bottom"/>
          </w:tcPr>
          <w:p w14:paraId="09F3724E" w14:textId="77777777" w:rsidR="00F163A7" w:rsidRPr="00996F86" w:rsidRDefault="00F163A7" w:rsidP="0010532B">
            <w:pPr>
              <w:pStyle w:val="TableFigure"/>
              <w:spacing w:before="0" w:line="276" w:lineRule="auto"/>
              <w:jc w:val="center"/>
            </w:pPr>
            <w:r w:rsidRPr="00996F86">
              <w:t>2.94</w:t>
            </w:r>
          </w:p>
        </w:tc>
        <w:tc>
          <w:tcPr>
            <w:tcW w:w="1229" w:type="dxa"/>
            <w:vAlign w:val="bottom"/>
          </w:tcPr>
          <w:p w14:paraId="5B74DE85" w14:textId="77777777" w:rsidR="00F163A7" w:rsidRPr="00996F86" w:rsidRDefault="00F163A7" w:rsidP="0010532B">
            <w:pPr>
              <w:pStyle w:val="TableFigure"/>
              <w:spacing w:before="0" w:line="276" w:lineRule="auto"/>
              <w:jc w:val="center"/>
            </w:pPr>
            <w:r w:rsidRPr="00996F86">
              <w:t>13.24</w:t>
            </w:r>
          </w:p>
        </w:tc>
      </w:tr>
      <w:tr w:rsidR="00B424A1" w:rsidRPr="00B424A1" w14:paraId="4822B922" w14:textId="77777777" w:rsidTr="0010532B">
        <w:tc>
          <w:tcPr>
            <w:tcW w:w="1418" w:type="dxa"/>
            <w:vAlign w:val="center"/>
          </w:tcPr>
          <w:p w14:paraId="0E02F2CF" w14:textId="77777777" w:rsidR="00F163A7" w:rsidRPr="00996F86" w:rsidRDefault="00F163A7" w:rsidP="0010532B">
            <w:pPr>
              <w:pStyle w:val="TableFigure"/>
              <w:spacing w:before="0" w:line="276" w:lineRule="auto"/>
            </w:pPr>
            <w:r w:rsidRPr="00996F86">
              <w:t xml:space="preserve">   Stress</w:t>
            </w:r>
          </w:p>
        </w:tc>
        <w:tc>
          <w:tcPr>
            <w:tcW w:w="1559" w:type="dxa"/>
            <w:vAlign w:val="bottom"/>
          </w:tcPr>
          <w:p w14:paraId="22299DE2" w14:textId="77777777" w:rsidR="00F163A7" w:rsidRPr="00996F86" w:rsidRDefault="00F163A7" w:rsidP="0010532B">
            <w:pPr>
              <w:pStyle w:val="TableFigure"/>
              <w:spacing w:before="0" w:line="276" w:lineRule="auto"/>
              <w:jc w:val="center"/>
            </w:pPr>
            <w:r w:rsidRPr="00996F86">
              <w:rPr>
                <w:rFonts w:ascii="Times New Roman" w:hAnsi="Times New Roman"/>
              </w:rPr>
              <w:t>15.81 (11.20)</w:t>
            </w:r>
          </w:p>
        </w:tc>
        <w:tc>
          <w:tcPr>
            <w:tcW w:w="851" w:type="dxa"/>
            <w:vAlign w:val="bottom"/>
          </w:tcPr>
          <w:p w14:paraId="319AA0CC" w14:textId="77777777" w:rsidR="00F163A7" w:rsidRPr="00B424A1" w:rsidRDefault="00F163A7" w:rsidP="0010532B">
            <w:pPr>
              <w:pStyle w:val="TableFigure"/>
              <w:spacing w:before="0" w:line="276" w:lineRule="auto"/>
              <w:jc w:val="center"/>
            </w:pPr>
            <w:r w:rsidRPr="00B424A1">
              <w:rPr>
                <w:rFonts w:ascii="Times New Roman" w:hAnsi="Times New Roman" w:cs="Times New Roman"/>
              </w:rPr>
              <w:t>0–42</w:t>
            </w:r>
          </w:p>
        </w:tc>
        <w:tc>
          <w:tcPr>
            <w:tcW w:w="992" w:type="dxa"/>
            <w:vAlign w:val="bottom"/>
          </w:tcPr>
          <w:p w14:paraId="141786B5" w14:textId="77777777" w:rsidR="00F163A7" w:rsidRPr="00996F86" w:rsidRDefault="00F163A7" w:rsidP="0010532B">
            <w:pPr>
              <w:pStyle w:val="TableFigure"/>
              <w:spacing w:before="0" w:line="276" w:lineRule="auto"/>
              <w:jc w:val="center"/>
            </w:pPr>
            <w:r w:rsidRPr="00996F86">
              <w:t>52.21</w:t>
            </w:r>
          </w:p>
        </w:tc>
        <w:tc>
          <w:tcPr>
            <w:tcW w:w="850" w:type="dxa"/>
            <w:vAlign w:val="bottom"/>
          </w:tcPr>
          <w:p w14:paraId="65978400" w14:textId="77777777" w:rsidR="00F163A7" w:rsidRPr="00996F86" w:rsidRDefault="00F163A7" w:rsidP="0010532B">
            <w:pPr>
              <w:pStyle w:val="TableFigure"/>
              <w:spacing w:before="0" w:line="276" w:lineRule="auto"/>
              <w:jc w:val="center"/>
            </w:pPr>
            <w:r w:rsidRPr="00996F86">
              <w:t>6.62</w:t>
            </w:r>
          </w:p>
        </w:tc>
        <w:tc>
          <w:tcPr>
            <w:tcW w:w="1276" w:type="dxa"/>
            <w:vAlign w:val="bottom"/>
          </w:tcPr>
          <w:p w14:paraId="00AFE153" w14:textId="77777777" w:rsidR="00F163A7" w:rsidRPr="00996F86" w:rsidRDefault="00F163A7" w:rsidP="0010532B">
            <w:pPr>
              <w:pStyle w:val="TableFigure"/>
              <w:spacing w:before="0" w:line="276" w:lineRule="auto"/>
              <w:jc w:val="center"/>
            </w:pPr>
            <w:r w:rsidRPr="00996F86">
              <w:t>17.65</w:t>
            </w:r>
          </w:p>
        </w:tc>
        <w:tc>
          <w:tcPr>
            <w:tcW w:w="851" w:type="dxa"/>
            <w:vAlign w:val="bottom"/>
          </w:tcPr>
          <w:p w14:paraId="7663E126" w14:textId="77777777" w:rsidR="00F163A7" w:rsidRPr="00996F86" w:rsidRDefault="00F163A7" w:rsidP="0010532B">
            <w:pPr>
              <w:pStyle w:val="TableFigure"/>
              <w:spacing w:before="0" w:line="276" w:lineRule="auto"/>
              <w:jc w:val="center"/>
            </w:pPr>
            <w:r w:rsidRPr="00996F86">
              <w:t>15.44</w:t>
            </w:r>
          </w:p>
        </w:tc>
        <w:tc>
          <w:tcPr>
            <w:tcW w:w="1229" w:type="dxa"/>
            <w:vAlign w:val="bottom"/>
          </w:tcPr>
          <w:p w14:paraId="70C17141" w14:textId="77777777" w:rsidR="00F163A7" w:rsidRPr="00996F86" w:rsidRDefault="00F163A7" w:rsidP="0010532B">
            <w:pPr>
              <w:pStyle w:val="TableFigure"/>
              <w:spacing w:before="0" w:line="276" w:lineRule="auto"/>
              <w:jc w:val="center"/>
            </w:pPr>
            <w:r w:rsidRPr="00996F86">
              <w:t>8.09</w:t>
            </w:r>
          </w:p>
        </w:tc>
      </w:tr>
      <w:tr w:rsidR="00B424A1" w:rsidRPr="00B424A1" w14:paraId="6C285AA2" w14:textId="77777777" w:rsidTr="0010532B">
        <w:tc>
          <w:tcPr>
            <w:tcW w:w="1418" w:type="dxa"/>
            <w:vAlign w:val="center"/>
          </w:tcPr>
          <w:p w14:paraId="77252431" w14:textId="77777777" w:rsidR="00F163A7" w:rsidRPr="00996F86" w:rsidRDefault="00F163A7" w:rsidP="0010532B">
            <w:pPr>
              <w:pStyle w:val="TableFigure"/>
              <w:spacing w:before="0" w:line="276" w:lineRule="auto"/>
            </w:pPr>
            <w:r w:rsidRPr="00996F86">
              <w:t xml:space="preserve">   Total</w:t>
            </w:r>
          </w:p>
        </w:tc>
        <w:tc>
          <w:tcPr>
            <w:tcW w:w="1559" w:type="dxa"/>
            <w:vAlign w:val="bottom"/>
          </w:tcPr>
          <w:p w14:paraId="66EA59A5" w14:textId="77777777" w:rsidR="00F163A7" w:rsidRPr="00996F86" w:rsidRDefault="00F163A7" w:rsidP="0010532B">
            <w:pPr>
              <w:pStyle w:val="TableFigure"/>
              <w:spacing w:before="0" w:line="276" w:lineRule="auto"/>
              <w:jc w:val="center"/>
            </w:pPr>
            <w:r w:rsidRPr="00996F86">
              <w:rPr>
                <w:rFonts w:ascii="Times New Roman" w:hAnsi="Times New Roman"/>
              </w:rPr>
              <w:t>35.87 (28.10)</w:t>
            </w:r>
          </w:p>
        </w:tc>
        <w:tc>
          <w:tcPr>
            <w:tcW w:w="851" w:type="dxa"/>
            <w:vAlign w:val="bottom"/>
          </w:tcPr>
          <w:p w14:paraId="477DF3DF" w14:textId="77777777" w:rsidR="00F163A7" w:rsidRPr="00B424A1" w:rsidRDefault="00F163A7" w:rsidP="0010532B">
            <w:pPr>
              <w:pStyle w:val="TableFigure"/>
              <w:spacing w:before="0" w:line="276" w:lineRule="auto"/>
              <w:jc w:val="center"/>
            </w:pPr>
            <w:r w:rsidRPr="00B424A1">
              <w:rPr>
                <w:rFonts w:ascii="Times New Roman" w:hAnsi="Times New Roman" w:cs="Times New Roman"/>
              </w:rPr>
              <w:t>0–104</w:t>
            </w:r>
          </w:p>
        </w:tc>
        <w:tc>
          <w:tcPr>
            <w:tcW w:w="992" w:type="dxa"/>
            <w:vAlign w:val="bottom"/>
          </w:tcPr>
          <w:p w14:paraId="46017F30" w14:textId="77777777" w:rsidR="00F163A7" w:rsidRPr="00B424A1" w:rsidRDefault="00F163A7" w:rsidP="0010532B">
            <w:pPr>
              <w:pStyle w:val="TableFigure"/>
              <w:spacing w:before="0" w:line="276" w:lineRule="auto"/>
              <w:jc w:val="center"/>
            </w:pPr>
            <w:r w:rsidRPr="00B424A1">
              <w:t>-</w:t>
            </w:r>
          </w:p>
        </w:tc>
        <w:tc>
          <w:tcPr>
            <w:tcW w:w="850" w:type="dxa"/>
            <w:vAlign w:val="bottom"/>
          </w:tcPr>
          <w:p w14:paraId="427931B9" w14:textId="77777777" w:rsidR="00F163A7" w:rsidRPr="00B424A1" w:rsidRDefault="00F163A7" w:rsidP="0010532B">
            <w:pPr>
              <w:pStyle w:val="TableFigure"/>
              <w:spacing w:before="0" w:line="276" w:lineRule="auto"/>
              <w:jc w:val="center"/>
            </w:pPr>
            <w:r w:rsidRPr="00B424A1">
              <w:t>-</w:t>
            </w:r>
          </w:p>
        </w:tc>
        <w:tc>
          <w:tcPr>
            <w:tcW w:w="1276" w:type="dxa"/>
            <w:vAlign w:val="bottom"/>
          </w:tcPr>
          <w:p w14:paraId="3E756584" w14:textId="77777777" w:rsidR="00F163A7" w:rsidRPr="00B424A1" w:rsidRDefault="00F163A7" w:rsidP="0010532B">
            <w:pPr>
              <w:pStyle w:val="TableFigure"/>
              <w:spacing w:before="0" w:line="276" w:lineRule="auto"/>
              <w:jc w:val="center"/>
            </w:pPr>
            <w:r w:rsidRPr="00B424A1">
              <w:t>-</w:t>
            </w:r>
          </w:p>
        </w:tc>
        <w:tc>
          <w:tcPr>
            <w:tcW w:w="851" w:type="dxa"/>
            <w:vAlign w:val="bottom"/>
          </w:tcPr>
          <w:p w14:paraId="38C45497" w14:textId="77777777" w:rsidR="00F163A7" w:rsidRPr="00B424A1" w:rsidRDefault="00F163A7" w:rsidP="0010532B">
            <w:pPr>
              <w:pStyle w:val="TableFigure"/>
              <w:spacing w:before="0" w:line="276" w:lineRule="auto"/>
              <w:jc w:val="center"/>
            </w:pPr>
            <w:r w:rsidRPr="00B424A1">
              <w:t>-</w:t>
            </w:r>
          </w:p>
        </w:tc>
        <w:tc>
          <w:tcPr>
            <w:tcW w:w="1229" w:type="dxa"/>
            <w:vAlign w:val="bottom"/>
          </w:tcPr>
          <w:p w14:paraId="5EEE0450" w14:textId="77777777" w:rsidR="00F163A7" w:rsidRPr="00B424A1" w:rsidRDefault="00F163A7" w:rsidP="0010532B">
            <w:pPr>
              <w:pStyle w:val="TableFigure"/>
              <w:spacing w:before="0" w:line="276" w:lineRule="auto"/>
              <w:jc w:val="center"/>
            </w:pPr>
            <w:r w:rsidRPr="00B424A1">
              <w:t>-</w:t>
            </w:r>
          </w:p>
        </w:tc>
      </w:tr>
      <w:tr w:rsidR="00B424A1" w:rsidRPr="00B424A1" w14:paraId="28C48B0C" w14:textId="77777777" w:rsidTr="0010532B">
        <w:tc>
          <w:tcPr>
            <w:tcW w:w="1418" w:type="dxa"/>
            <w:vAlign w:val="center"/>
          </w:tcPr>
          <w:p w14:paraId="6329F66E" w14:textId="77777777" w:rsidR="00F163A7" w:rsidRPr="00B424A1" w:rsidRDefault="00F163A7" w:rsidP="0010532B">
            <w:pPr>
              <w:pStyle w:val="TableFigure"/>
              <w:spacing w:before="0" w:line="276" w:lineRule="auto"/>
            </w:pPr>
            <w:r w:rsidRPr="00B424A1">
              <w:t>DASS42</w:t>
            </w:r>
          </w:p>
        </w:tc>
        <w:tc>
          <w:tcPr>
            <w:tcW w:w="1559" w:type="dxa"/>
            <w:vAlign w:val="bottom"/>
          </w:tcPr>
          <w:p w14:paraId="5BDFC448" w14:textId="77777777" w:rsidR="00F163A7" w:rsidRPr="00B424A1" w:rsidRDefault="00F163A7" w:rsidP="0010532B">
            <w:pPr>
              <w:pStyle w:val="TableFigure"/>
              <w:spacing w:before="0" w:line="276" w:lineRule="auto"/>
              <w:jc w:val="center"/>
            </w:pPr>
          </w:p>
        </w:tc>
        <w:tc>
          <w:tcPr>
            <w:tcW w:w="851" w:type="dxa"/>
            <w:vAlign w:val="bottom"/>
          </w:tcPr>
          <w:p w14:paraId="3279F4B2" w14:textId="77777777" w:rsidR="00F163A7" w:rsidRPr="00B424A1" w:rsidRDefault="00F163A7" w:rsidP="0010532B">
            <w:pPr>
              <w:pStyle w:val="TableFigure"/>
              <w:spacing w:before="0" w:line="276" w:lineRule="auto"/>
              <w:jc w:val="center"/>
            </w:pPr>
          </w:p>
        </w:tc>
        <w:tc>
          <w:tcPr>
            <w:tcW w:w="992" w:type="dxa"/>
            <w:vAlign w:val="bottom"/>
          </w:tcPr>
          <w:p w14:paraId="0BAD11C8" w14:textId="77777777" w:rsidR="00F163A7" w:rsidRPr="00B424A1" w:rsidRDefault="00F163A7" w:rsidP="0010532B">
            <w:pPr>
              <w:pStyle w:val="TableFigure"/>
              <w:spacing w:before="0" w:line="276" w:lineRule="auto"/>
              <w:jc w:val="center"/>
            </w:pPr>
          </w:p>
        </w:tc>
        <w:tc>
          <w:tcPr>
            <w:tcW w:w="850" w:type="dxa"/>
            <w:vAlign w:val="bottom"/>
          </w:tcPr>
          <w:p w14:paraId="098FD337" w14:textId="77777777" w:rsidR="00F163A7" w:rsidRPr="00B424A1" w:rsidRDefault="00F163A7" w:rsidP="0010532B">
            <w:pPr>
              <w:pStyle w:val="TableFigure"/>
              <w:spacing w:before="0" w:line="276" w:lineRule="auto"/>
              <w:jc w:val="center"/>
            </w:pPr>
          </w:p>
        </w:tc>
        <w:tc>
          <w:tcPr>
            <w:tcW w:w="1276" w:type="dxa"/>
            <w:vAlign w:val="bottom"/>
          </w:tcPr>
          <w:p w14:paraId="6DA6A93D" w14:textId="77777777" w:rsidR="00F163A7" w:rsidRPr="00B424A1" w:rsidRDefault="00F163A7" w:rsidP="0010532B">
            <w:pPr>
              <w:pStyle w:val="TableFigure"/>
              <w:spacing w:before="0" w:line="276" w:lineRule="auto"/>
              <w:jc w:val="center"/>
            </w:pPr>
          </w:p>
        </w:tc>
        <w:tc>
          <w:tcPr>
            <w:tcW w:w="851" w:type="dxa"/>
            <w:vAlign w:val="bottom"/>
          </w:tcPr>
          <w:p w14:paraId="2DB77535" w14:textId="77777777" w:rsidR="00F163A7" w:rsidRPr="00B424A1" w:rsidRDefault="00F163A7" w:rsidP="0010532B">
            <w:pPr>
              <w:pStyle w:val="TableFigure"/>
              <w:spacing w:before="0" w:line="276" w:lineRule="auto"/>
              <w:jc w:val="center"/>
            </w:pPr>
          </w:p>
        </w:tc>
        <w:tc>
          <w:tcPr>
            <w:tcW w:w="1229" w:type="dxa"/>
            <w:vAlign w:val="bottom"/>
          </w:tcPr>
          <w:p w14:paraId="72184965" w14:textId="77777777" w:rsidR="00F163A7" w:rsidRPr="00B424A1" w:rsidRDefault="00F163A7" w:rsidP="0010532B">
            <w:pPr>
              <w:pStyle w:val="TableFigure"/>
              <w:spacing w:before="0" w:line="276" w:lineRule="auto"/>
              <w:jc w:val="center"/>
            </w:pPr>
          </w:p>
        </w:tc>
      </w:tr>
      <w:tr w:rsidR="00B424A1" w:rsidRPr="00B424A1" w14:paraId="73433CD9" w14:textId="77777777" w:rsidTr="0010532B">
        <w:tc>
          <w:tcPr>
            <w:tcW w:w="1418" w:type="dxa"/>
            <w:vAlign w:val="center"/>
          </w:tcPr>
          <w:p w14:paraId="17171FCE" w14:textId="77777777" w:rsidR="00F163A7" w:rsidRPr="00B424A1" w:rsidRDefault="00F163A7" w:rsidP="0010532B">
            <w:pPr>
              <w:pStyle w:val="TableFigure"/>
              <w:spacing w:before="0" w:line="276" w:lineRule="auto"/>
            </w:pPr>
            <w:r w:rsidRPr="00B424A1">
              <w:t xml:space="preserve">  Depression</w:t>
            </w:r>
          </w:p>
        </w:tc>
        <w:tc>
          <w:tcPr>
            <w:tcW w:w="1559" w:type="dxa"/>
            <w:vAlign w:val="bottom"/>
          </w:tcPr>
          <w:p w14:paraId="6D2BF082" w14:textId="77777777" w:rsidR="00F163A7" w:rsidRPr="00B424A1" w:rsidRDefault="00F163A7" w:rsidP="0010532B">
            <w:pPr>
              <w:pStyle w:val="TableFigure"/>
              <w:spacing w:before="0" w:line="276" w:lineRule="auto"/>
              <w:jc w:val="center"/>
            </w:pPr>
            <w:r w:rsidRPr="00B424A1">
              <w:rPr>
                <w:rFonts w:ascii="Times New Roman" w:hAnsi="Times New Roman" w:cs="Times New Roman"/>
              </w:rPr>
              <w:t>12.24 (11.22)</w:t>
            </w:r>
          </w:p>
        </w:tc>
        <w:tc>
          <w:tcPr>
            <w:tcW w:w="851" w:type="dxa"/>
            <w:vAlign w:val="bottom"/>
          </w:tcPr>
          <w:p w14:paraId="49B6A0CA" w14:textId="77777777" w:rsidR="00F163A7" w:rsidRPr="00B424A1" w:rsidRDefault="00F163A7" w:rsidP="0010532B">
            <w:pPr>
              <w:pStyle w:val="TableFigure"/>
              <w:spacing w:before="0" w:line="276" w:lineRule="auto"/>
              <w:jc w:val="center"/>
            </w:pPr>
            <w:r w:rsidRPr="00B424A1">
              <w:rPr>
                <w:rFonts w:ascii="Times New Roman" w:hAnsi="Times New Roman" w:cs="Times New Roman"/>
              </w:rPr>
              <w:t>0–40</w:t>
            </w:r>
          </w:p>
        </w:tc>
        <w:tc>
          <w:tcPr>
            <w:tcW w:w="992" w:type="dxa"/>
            <w:vAlign w:val="bottom"/>
          </w:tcPr>
          <w:p w14:paraId="7E433F12" w14:textId="77777777" w:rsidR="00F163A7" w:rsidRPr="00B424A1" w:rsidRDefault="00F163A7" w:rsidP="0010532B">
            <w:pPr>
              <w:pStyle w:val="TableFigure"/>
              <w:spacing w:before="0" w:line="276" w:lineRule="auto"/>
              <w:jc w:val="center"/>
            </w:pPr>
            <w:r w:rsidRPr="00B424A1">
              <w:rPr>
                <w:rFonts w:ascii="Times New Roman" w:hAnsi="Times New Roman" w:cs="Times New Roman"/>
              </w:rPr>
              <w:t>51.47</w:t>
            </w:r>
          </w:p>
        </w:tc>
        <w:tc>
          <w:tcPr>
            <w:tcW w:w="850" w:type="dxa"/>
            <w:vAlign w:val="bottom"/>
          </w:tcPr>
          <w:p w14:paraId="74D77FA2" w14:textId="77777777" w:rsidR="00F163A7" w:rsidRPr="00B424A1" w:rsidRDefault="00F163A7" w:rsidP="0010532B">
            <w:pPr>
              <w:pStyle w:val="TableFigure"/>
              <w:spacing w:before="0" w:line="276" w:lineRule="auto"/>
              <w:jc w:val="center"/>
            </w:pPr>
            <w:r w:rsidRPr="00B424A1">
              <w:rPr>
                <w:rFonts w:ascii="Times New Roman" w:hAnsi="Times New Roman" w:cs="Times New Roman"/>
              </w:rPr>
              <w:t>7.35</w:t>
            </w:r>
          </w:p>
        </w:tc>
        <w:tc>
          <w:tcPr>
            <w:tcW w:w="1276" w:type="dxa"/>
            <w:vAlign w:val="bottom"/>
          </w:tcPr>
          <w:p w14:paraId="0A4871DA" w14:textId="77777777" w:rsidR="00F163A7" w:rsidRPr="00B424A1" w:rsidRDefault="00F163A7" w:rsidP="0010532B">
            <w:pPr>
              <w:pStyle w:val="TableFigure"/>
              <w:spacing w:before="0" w:line="276" w:lineRule="auto"/>
              <w:jc w:val="center"/>
            </w:pPr>
            <w:r w:rsidRPr="00B424A1">
              <w:rPr>
                <w:rFonts w:ascii="Times New Roman" w:hAnsi="Times New Roman" w:cs="Times New Roman"/>
              </w:rPr>
              <w:t>16.91</w:t>
            </w:r>
          </w:p>
        </w:tc>
        <w:tc>
          <w:tcPr>
            <w:tcW w:w="851" w:type="dxa"/>
            <w:vAlign w:val="bottom"/>
          </w:tcPr>
          <w:p w14:paraId="18445F63" w14:textId="77777777" w:rsidR="00F163A7" w:rsidRPr="00B424A1" w:rsidRDefault="00F163A7" w:rsidP="0010532B">
            <w:pPr>
              <w:pStyle w:val="TableFigure"/>
              <w:spacing w:before="0" w:line="276" w:lineRule="auto"/>
              <w:jc w:val="center"/>
            </w:pPr>
            <w:r w:rsidRPr="00B424A1">
              <w:rPr>
                <w:rFonts w:ascii="Times New Roman" w:hAnsi="Times New Roman" w:cs="Times New Roman"/>
              </w:rPr>
              <w:t>11.03</w:t>
            </w:r>
          </w:p>
        </w:tc>
        <w:tc>
          <w:tcPr>
            <w:tcW w:w="1229" w:type="dxa"/>
            <w:vAlign w:val="bottom"/>
          </w:tcPr>
          <w:p w14:paraId="120C0C5E" w14:textId="77777777" w:rsidR="00F163A7" w:rsidRPr="00B424A1" w:rsidRDefault="00F163A7" w:rsidP="0010532B">
            <w:pPr>
              <w:pStyle w:val="TableFigure"/>
              <w:spacing w:before="0" w:line="276" w:lineRule="auto"/>
              <w:jc w:val="center"/>
            </w:pPr>
            <w:r w:rsidRPr="00B424A1">
              <w:rPr>
                <w:rFonts w:ascii="Times New Roman" w:hAnsi="Times New Roman" w:cs="Times New Roman"/>
              </w:rPr>
              <w:t>13.24</w:t>
            </w:r>
          </w:p>
        </w:tc>
      </w:tr>
      <w:tr w:rsidR="00B424A1" w:rsidRPr="00B424A1" w14:paraId="315D0F55" w14:textId="77777777" w:rsidTr="0010532B">
        <w:tc>
          <w:tcPr>
            <w:tcW w:w="1418" w:type="dxa"/>
            <w:vAlign w:val="center"/>
          </w:tcPr>
          <w:p w14:paraId="758254B4" w14:textId="77777777" w:rsidR="00F163A7" w:rsidRPr="00B424A1" w:rsidRDefault="00F163A7" w:rsidP="0010532B">
            <w:pPr>
              <w:pStyle w:val="TableFigure"/>
              <w:spacing w:before="0" w:line="276" w:lineRule="auto"/>
            </w:pPr>
            <w:r w:rsidRPr="00B424A1">
              <w:t xml:space="preserve">   Anxiety</w:t>
            </w:r>
          </w:p>
        </w:tc>
        <w:tc>
          <w:tcPr>
            <w:tcW w:w="1559" w:type="dxa"/>
            <w:vAlign w:val="bottom"/>
          </w:tcPr>
          <w:p w14:paraId="23F8719B" w14:textId="77777777" w:rsidR="00F163A7" w:rsidRPr="00B424A1" w:rsidRDefault="00F163A7" w:rsidP="0010532B">
            <w:pPr>
              <w:pStyle w:val="TableFigure"/>
              <w:spacing w:before="0" w:line="276" w:lineRule="auto"/>
              <w:jc w:val="center"/>
            </w:pPr>
            <w:r w:rsidRPr="00B424A1">
              <w:rPr>
                <w:rFonts w:ascii="Times New Roman" w:hAnsi="Times New Roman" w:cs="Times New Roman"/>
              </w:rPr>
              <w:t>8.04 (7.78)</w:t>
            </w:r>
          </w:p>
        </w:tc>
        <w:tc>
          <w:tcPr>
            <w:tcW w:w="851" w:type="dxa"/>
            <w:vAlign w:val="bottom"/>
          </w:tcPr>
          <w:p w14:paraId="0D2B16A9" w14:textId="77777777" w:rsidR="00F163A7" w:rsidRPr="00B424A1" w:rsidRDefault="00F163A7" w:rsidP="0010532B">
            <w:pPr>
              <w:pStyle w:val="TableFigure"/>
              <w:spacing w:before="0" w:line="276" w:lineRule="auto"/>
              <w:jc w:val="center"/>
            </w:pPr>
            <w:r w:rsidRPr="00B424A1">
              <w:rPr>
                <w:rFonts w:ascii="Times New Roman" w:hAnsi="Times New Roman" w:cs="Times New Roman"/>
              </w:rPr>
              <w:t>0–30</w:t>
            </w:r>
          </w:p>
        </w:tc>
        <w:tc>
          <w:tcPr>
            <w:tcW w:w="992" w:type="dxa"/>
            <w:vAlign w:val="bottom"/>
          </w:tcPr>
          <w:p w14:paraId="49111295" w14:textId="77777777" w:rsidR="00F163A7" w:rsidRPr="00B424A1" w:rsidRDefault="00F163A7" w:rsidP="0010532B">
            <w:pPr>
              <w:pStyle w:val="TableFigure"/>
              <w:spacing w:before="0" w:line="276" w:lineRule="auto"/>
              <w:jc w:val="center"/>
            </w:pPr>
            <w:r w:rsidRPr="00B424A1">
              <w:rPr>
                <w:rFonts w:ascii="Times New Roman" w:hAnsi="Times New Roman" w:cs="Times New Roman"/>
              </w:rPr>
              <w:t>56.62</w:t>
            </w:r>
          </w:p>
        </w:tc>
        <w:tc>
          <w:tcPr>
            <w:tcW w:w="850" w:type="dxa"/>
            <w:vAlign w:val="bottom"/>
          </w:tcPr>
          <w:p w14:paraId="2F02B905" w14:textId="77777777" w:rsidR="00F163A7" w:rsidRPr="00B424A1" w:rsidRDefault="00F163A7" w:rsidP="0010532B">
            <w:pPr>
              <w:pStyle w:val="TableFigure"/>
              <w:spacing w:before="0" w:line="276" w:lineRule="auto"/>
              <w:jc w:val="center"/>
            </w:pPr>
            <w:r w:rsidRPr="00B424A1">
              <w:rPr>
                <w:rFonts w:ascii="Times New Roman" w:hAnsi="Times New Roman" w:cs="Times New Roman"/>
              </w:rPr>
              <w:t>11.03</w:t>
            </w:r>
          </w:p>
        </w:tc>
        <w:tc>
          <w:tcPr>
            <w:tcW w:w="1276" w:type="dxa"/>
            <w:vAlign w:val="bottom"/>
          </w:tcPr>
          <w:p w14:paraId="1680B4F5" w14:textId="77777777" w:rsidR="00F163A7" w:rsidRPr="00B424A1" w:rsidRDefault="00F163A7" w:rsidP="0010532B">
            <w:pPr>
              <w:pStyle w:val="TableFigure"/>
              <w:spacing w:before="0" w:line="276" w:lineRule="auto"/>
              <w:jc w:val="center"/>
            </w:pPr>
            <w:r w:rsidRPr="00B424A1">
              <w:rPr>
                <w:rFonts w:ascii="Times New Roman" w:hAnsi="Times New Roman" w:cs="Times New Roman"/>
              </w:rPr>
              <w:t>13.24</w:t>
            </w:r>
          </w:p>
        </w:tc>
        <w:tc>
          <w:tcPr>
            <w:tcW w:w="851" w:type="dxa"/>
            <w:vAlign w:val="bottom"/>
          </w:tcPr>
          <w:p w14:paraId="62AAE10F" w14:textId="77777777" w:rsidR="00F163A7" w:rsidRPr="00B424A1" w:rsidRDefault="00F163A7" w:rsidP="0010532B">
            <w:pPr>
              <w:pStyle w:val="TableFigure"/>
              <w:spacing w:before="0" w:line="276" w:lineRule="auto"/>
              <w:jc w:val="center"/>
            </w:pPr>
            <w:r w:rsidRPr="00B424A1">
              <w:rPr>
                <w:rFonts w:ascii="Times New Roman" w:hAnsi="Times New Roman" w:cs="Times New Roman"/>
              </w:rPr>
              <w:t>5.88</w:t>
            </w:r>
          </w:p>
        </w:tc>
        <w:tc>
          <w:tcPr>
            <w:tcW w:w="1229" w:type="dxa"/>
            <w:vAlign w:val="bottom"/>
          </w:tcPr>
          <w:p w14:paraId="5088F648" w14:textId="77777777" w:rsidR="00F163A7" w:rsidRPr="00B424A1" w:rsidRDefault="00F163A7" w:rsidP="0010532B">
            <w:pPr>
              <w:pStyle w:val="TableFigure"/>
              <w:spacing w:before="0" w:line="276" w:lineRule="auto"/>
              <w:jc w:val="center"/>
            </w:pPr>
            <w:r w:rsidRPr="00B424A1">
              <w:rPr>
                <w:rFonts w:ascii="Times New Roman" w:hAnsi="Times New Roman" w:cs="Times New Roman"/>
              </w:rPr>
              <w:t>13.24</w:t>
            </w:r>
          </w:p>
        </w:tc>
      </w:tr>
      <w:tr w:rsidR="00B424A1" w:rsidRPr="00B424A1" w14:paraId="4CC0E2CF" w14:textId="77777777" w:rsidTr="0010532B">
        <w:tc>
          <w:tcPr>
            <w:tcW w:w="1418" w:type="dxa"/>
            <w:vAlign w:val="center"/>
          </w:tcPr>
          <w:p w14:paraId="5A220E4A" w14:textId="77777777" w:rsidR="00F163A7" w:rsidRPr="00B424A1" w:rsidRDefault="00F163A7" w:rsidP="0010532B">
            <w:pPr>
              <w:pStyle w:val="TableFigure"/>
              <w:spacing w:before="0" w:line="276" w:lineRule="auto"/>
            </w:pPr>
            <w:r w:rsidRPr="00B424A1">
              <w:t xml:space="preserve">   Stress</w:t>
            </w:r>
          </w:p>
        </w:tc>
        <w:tc>
          <w:tcPr>
            <w:tcW w:w="1559" w:type="dxa"/>
            <w:vAlign w:val="bottom"/>
          </w:tcPr>
          <w:p w14:paraId="678B01A0" w14:textId="77777777" w:rsidR="00F163A7" w:rsidRPr="00B424A1" w:rsidRDefault="00F163A7" w:rsidP="0010532B">
            <w:pPr>
              <w:pStyle w:val="TableFigure"/>
              <w:spacing w:before="0" w:line="276" w:lineRule="auto"/>
              <w:jc w:val="center"/>
            </w:pPr>
            <w:r w:rsidRPr="00B424A1">
              <w:rPr>
                <w:rFonts w:ascii="Times New Roman" w:hAnsi="Times New Roman" w:cs="Times New Roman"/>
              </w:rPr>
              <w:t>16.06 (11.17)</w:t>
            </w:r>
          </w:p>
        </w:tc>
        <w:tc>
          <w:tcPr>
            <w:tcW w:w="851" w:type="dxa"/>
            <w:vAlign w:val="bottom"/>
          </w:tcPr>
          <w:p w14:paraId="5ACA41AC" w14:textId="77777777" w:rsidR="00F163A7" w:rsidRPr="00B424A1" w:rsidRDefault="00F163A7" w:rsidP="0010532B">
            <w:pPr>
              <w:pStyle w:val="TableFigure"/>
              <w:spacing w:before="0" w:line="276" w:lineRule="auto"/>
              <w:jc w:val="center"/>
            </w:pPr>
            <w:r w:rsidRPr="00B424A1">
              <w:rPr>
                <w:rFonts w:ascii="Times New Roman" w:hAnsi="Times New Roman" w:cs="Times New Roman"/>
              </w:rPr>
              <w:t>0–41</w:t>
            </w:r>
          </w:p>
        </w:tc>
        <w:tc>
          <w:tcPr>
            <w:tcW w:w="992" w:type="dxa"/>
            <w:vAlign w:val="bottom"/>
          </w:tcPr>
          <w:p w14:paraId="1C464891" w14:textId="77777777" w:rsidR="00F163A7" w:rsidRPr="00B424A1" w:rsidRDefault="00F163A7" w:rsidP="0010532B">
            <w:pPr>
              <w:pStyle w:val="TableFigure"/>
              <w:spacing w:before="0" w:line="276" w:lineRule="auto"/>
              <w:jc w:val="center"/>
            </w:pPr>
            <w:r w:rsidRPr="00B424A1">
              <w:rPr>
                <w:rFonts w:ascii="Times New Roman" w:hAnsi="Times New Roman" w:cs="Times New Roman"/>
              </w:rPr>
              <w:t>50.74</w:t>
            </w:r>
          </w:p>
        </w:tc>
        <w:tc>
          <w:tcPr>
            <w:tcW w:w="850" w:type="dxa"/>
            <w:vAlign w:val="bottom"/>
          </w:tcPr>
          <w:p w14:paraId="4F5A976D" w14:textId="77777777" w:rsidR="00F163A7" w:rsidRPr="00B424A1" w:rsidRDefault="00F163A7" w:rsidP="0010532B">
            <w:pPr>
              <w:pStyle w:val="TableFigure"/>
              <w:spacing w:before="0" w:line="276" w:lineRule="auto"/>
              <w:jc w:val="center"/>
            </w:pPr>
            <w:r w:rsidRPr="00B424A1">
              <w:rPr>
                <w:rFonts w:ascii="Times New Roman" w:hAnsi="Times New Roman" w:cs="Times New Roman"/>
              </w:rPr>
              <w:t>8.82</w:t>
            </w:r>
          </w:p>
        </w:tc>
        <w:tc>
          <w:tcPr>
            <w:tcW w:w="1276" w:type="dxa"/>
            <w:vAlign w:val="bottom"/>
          </w:tcPr>
          <w:p w14:paraId="617005A4" w14:textId="77777777" w:rsidR="00F163A7" w:rsidRPr="00B424A1" w:rsidRDefault="00F163A7" w:rsidP="0010532B">
            <w:pPr>
              <w:pStyle w:val="TableFigure"/>
              <w:spacing w:before="0" w:line="276" w:lineRule="auto"/>
              <w:jc w:val="center"/>
            </w:pPr>
            <w:r w:rsidRPr="00B424A1">
              <w:rPr>
                <w:rFonts w:ascii="Times New Roman" w:hAnsi="Times New Roman" w:cs="Times New Roman"/>
              </w:rPr>
              <w:t>17.65</w:t>
            </w:r>
          </w:p>
        </w:tc>
        <w:tc>
          <w:tcPr>
            <w:tcW w:w="851" w:type="dxa"/>
            <w:vAlign w:val="bottom"/>
          </w:tcPr>
          <w:p w14:paraId="219544A3" w14:textId="77777777" w:rsidR="00F163A7" w:rsidRPr="00B424A1" w:rsidRDefault="00F163A7" w:rsidP="0010532B">
            <w:pPr>
              <w:pStyle w:val="TableFigure"/>
              <w:spacing w:before="0" w:line="276" w:lineRule="auto"/>
              <w:jc w:val="center"/>
            </w:pPr>
            <w:r w:rsidRPr="00B424A1">
              <w:rPr>
                <w:rFonts w:ascii="Times New Roman" w:hAnsi="Times New Roman" w:cs="Times New Roman"/>
              </w:rPr>
              <w:t>14.71</w:t>
            </w:r>
          </w:p>
        </w:tc>
        <w:tc>
          <w:tcPr>
            <w:tcW w:w="1229" w:type="dxa"/>
            <w:vAlign w:val="bottom"/>
          </w:tcPr>
          <w:p w14:paraId="7676F5CE" w14:textId="77777777" w:rsidR="00F163A7" w:rsidRPr="00B424A1" w:rsidRDefault="00F163A7" w:rsidP="0010532B">
            <w:pPr>
              <w:pStyle w:val="TableFigure"/>
              <w:spacing w:before="0" w:line="276" w:lineRule="auto"/>
              <w:jc w:val="center"/>
            </w:pPr>
            <w:r w:rsidRPr="00B424A1">
              <w:rPr>
                <w:rFonts w:ascii="Times New Roman" w:hAnsi="Times New Roman" w:cs="Times New Roman"/>
              </w:rPr>
              <w:t>8.09</w:t>
            </w:r>
          </w:p>
        </w:tc>
      </w:tr>
      <w:tr w:rsidR="00B424A1" w:rsidRPr="00B424A1" w14:paraId="3E043726" w14:textId="77777777" w:rsidTr="0010532B">
        <w:tc>
          <w:tcPr>
            <w:tcW w:w="1418" w:type="dxa"/>
            <w:tcBorders>
              <w:bottom w:val="single" w:sz="4" w:space="0" w:color="auto"/>
            </w:tcBorders>
            <w:vAlign w:val="center"/>
          </w:tcPr>
          <w:p w14:paraId="1ECA0C86" w14:textId="77777777" w:rsidR="00F163A7" w:rsidRPr="00B424A1" w:rsidRDefault="00F163A7" w:rsidP="0010532B">
            <w:pPr>
              <w:pStyle w:val="TableFigure"/>
              <w:spacing w:before="0" w:line="276" w:lineRule="auto"/>
            </w:pPr>
            <w:r w:rsidRPr="00B424A1">
              <w:t xml:space="preserve">   Total</w:t>
            </w:r>
          </w:p>
        </w:tc>
        <w:tc>
          <w:tcPr>
            <w:tcW w:w="1559" w:type="dxa"/>
            <w:tcBorders>
              <w:bottom w:val="single" w:sz="4" w:space="0" w:color="auto"/>
            </w:tcBorders>
            <w:vAlign w:val="bottom"/>
          </w:tcPr>
          <w:p w14:paraId="484F24AE" w14:textId="77777777" w:rsidR="00F163A7" w:rsidRPr="00B424A1" w:rsidRDefault="00F163A7" w:rsidP="0010532B">
            <w:pPr>
              <w:pStyle w:val="TableFigure"/>
              <w:spacing w:before="0" w:line="276" w:lineRule="auto"/>
              <w:jc w:val="center"/>
            </w:pPr>
            <w:r w:rsidRPr="00B424A1">
              <w:rPr>
                <w:rFonts w:ascii="Times New Roman" w:hAnsi="Times New Roman" w:cs="Times New Roman"/>
              </w:rPr>
              <w:t>36.35 (27.67)</w:t>
            </w:r>
          </w:p>
        </w:tc>
        <w:tc>
          <w:tcPr>
            <w:tcW w:w="851" w:type="dxa"/>
            <w:tcBorders>
              <w:bottom w:val="single" w:sz="4" w:space="0" w:color="auto"/>
            </w:tcBorders>
            <w:vAlign w:val="bottom"/>
          </w:tcPr>
          <w:p w14:paraId="1F3F034D" w14:textId="77777777" w:rsidR="00F163A7" w:rsidRPr="00B424A1" w:rsidRDefault="00F163A7" w:rsidP="0010532B">
            <w:pPr>
              <w:pStyle w:val="TableFigure"/>
              <w:spacing w:before="0" w:line="276" w:lineRule="auto"/>
              <w:jc w:val="center"/>
            </w:pPr>
            <w:r w:rsidRPr="00B424A1">
              <w:rPr>
                <w:rFonts w:ascii="Times New Roman" w:hAnsi="Times New Roman" w:cs="Times New Roman"/>
              </w:rPr>
              <w:t>0–104</w:t>
            </w:r>
          </w:p>
        </w:tc>
        <w:tc>
          <w:tcPr>
            <w:tcW w:w="992" w:type="dxa"/>
            <w:tcBorders>
              <w:bottom w:val="single" w:sz="4" w:space="0" w:color="auto"/>
            </w:tcBorders>
            <w:vAlign w:val="bottom"/>
          </w:tcPr>
          <w:p w14:paraId="4F6E5D84" w14:textId="77777777" w:rsidR="00F163A7" w:rsidRPr="00B424A1" w:rsidRDefault="00F163A7" w:rsidP="0010532B">
            <w:pPr>
              <w:pStyle w:val="TableFigure"/>
              <w:spacing w:before="0" w:line="276" w:lineRule="auto"/>
              <w:jc w:val="center"/>
            </w:pPr>
            <w:r w:rsidRPr="00B424A1">
              <w:t>-</w:t>
            </w:r>
          </w:p>
        </w:tc>
        <w:tc>
          <w:tcPr>
            <w:tcW w:w="850" w:type="dxa"/>
            <w:tcBorders>
              <w:bottom w:val="single" w:sz="4" w:space="0" w:color="auto"/>
            </w:tcBorders>
            <w:vAlign w:val="bottom"/>
          </w:tcPr>
          <w:p w14:paraId="580661CD" w14:textId="77777777" w:rsidR="00F163A7" w:rsidRPr="00B424A1" w:rsidRDefault="00F163A7" w:rsidP="0010532B">
            <w:pPr>
              <w:pStyle w:val="TableFigure"/>
              <w:spacing w:before="0" w:line="276" w:lineRule="auto"/>
              <w:jc w:val="center"/>
            </w:pPr>
            <w:r w:rsidRPr="00B424A1">
              <w:t>-</w:t>
            </w:r>
          </w:p>
        </w:tc>
        <w:tc>
          <w:tcPr>
            <w:tcW w:w="1276" w:type="dxa"/>
            <w:tcBorders>
              <w:bottom w:val="single" w:sz="4" w:space="0" w:color="auto"/>
            </w:tcBorders>
            <w:vAlign w:val="bottom"/>
          </w:tcPr>
          <w:p w14:paraId="07E2CEF1" w14:textId="77777777" w:rsidR="00F163A7" w:rsidRPr="00B424A1" w:rsidRDefault="00F163A7" w:rsidP="0010532B">
            <w:pPr>
              <w:pStyle w:val="TableFigure"/>
              <w:spacing w:before="0" w:line="276" w:lineRule="auto"/>
              <w:jc w:val="center"/>
            </w:pPr>
            <w:r w:rsidRPr="00B424A1">
              <w:t>-</w:t>
            </w:r>
          </w:p>
        </w:tc>
        <w:tc>
          <w:tcPr>
            <w:tcW w:w="851" w:type="dxa"/>
            <w:tcBorders>
              <w:bottom w:val="single" w:sz="4" w:space="0" w:color="auto"/>
            </w:tcBorders>
            <w:vAlign w:val="bottom"/>
          </w:tcPr>
          <w:p w14:paraId="2329A262" w14:textId="77777777" w:rsidR="00F163A7" w:rsidRPr="00B424A1" w:rsidRDefault="00F163A7" w:rsidP="0010532B">
            <w:pPr>
              <w:pStyle w:val="TableFigure"/>
              <w:spacing w:before="0" w:line="276" w:lineRule="auto"/>
              <w:jc w:val="center"/>
            </w:pPr>
            <w:r w:rsidRPr="00B424A1">
              <w:t>-</w:t>
            </w:r>
          </w:p>
        </w:tc>
        <w:tc>
          <w:tcPr>
            <w:tcW w:w="1229" w:type="dxa"/>
            <w:tcBorders>
              <w:bottom w:val="single" w:sz="4" w:space="0" w:color="auto"/>
            </w:tcBorders>
            <w:vAlign w:val="bottom"/>
          </w:tcPr>
          <w:p w14:paraId="0F47513C" w14:textId="77777777" w:rsidR="00F163A7" w:rsidRPr="00B424A1" w:rsidRDefault="00F163A7" w:rsidP="0010532B">
            <w:pPr>
              <w:pStyle w:val="TableFigure"/>
              <w:spacing w:before="0" w:line="276" w:lineRule="auto"/>
              <w:jc w:val="center"/>
            </w:pPr>
            <w:r w:rsidRPr="00B424A1">
              <w:t>-</w:t>
            </w:r>
          </w:p>
        </w:tc>
      </w:tr>
    </w:tbl>
    <w:p w14:paraId="2672A16A" w14:textId="1DD2B749" w:rsidR="00B3416F" w:rsidRPr="00B424A1" w:rsidRDefault="00F163A7" w:rsidP="00B3416F">
      <w:pPr>
        <w:pStyle w:val="TableFigure"/>
        <w:spacing w:before="0" w:line="276" w:lineRule="auto"/>
      </w:pPr>
      <w:r w:rsidRPr="00B424A1">
        <w:rPr>
          <w:i/>
          <w:iCs/>
        </w:rPr>
        <w:t xml:space="preserve">Note. </w:t>
      </w:r>
      <w:r w:rsidRPr="00B424A1">
        <w:t>DASS21 = Depression Anxiety Stress Scales 21-item version; DASS42 = DASS 42-item version; M = mean; SD = standard deviation. DASS21 raw scores are doubled to allow comparison with the full version (possible individual scale range = 0</w:t>
      </w:r>
      <w:r w:rsidRPr="00B424A1">
        <w:rPr>
          <w:rFonts w:ascii="Times New Roman" w:hAnsi="Times New Roman" w:cs="Times New Roman"/>
        </w:rPr>
        <w:t>–</w:t>
      </w:r>
      <w:r w:rsidRPr="00B424A1">
        <w:t>42; possible total score range = 0</w:t>
      </w:r>
      <w:r w:rsidRPr="00B424A1">
        <w:rPr>
          <w:rFonts w:ascii="Times New Roman" w:hAnsi="Times New Roman" w:cs="Times New Roman"/>
        </w:rPr>
        <w:t>–</w:t>
      </w:r>
      <w:r w:rsidRPr="00B424A1">
        <w:t xml:space="preserve">126). </w:t>
      </w:r>
      <w:r w:rsidR="002C7CC1">
        <w:t xml:space="preserve">While emotional distress is inherently dimensional, the DASS manual offers a set of (somewhat arbitrary) cut-off scores, used for describing the severity of distress relative to the general population. </w:t>
      </w:r>
      <w:r w:rsidRPr="00B424A1">
        <w:t xml:space="preserve">As can be seen, DASS21 and DASS42 scores were very similar. </w:t>
      </w:r>
    </w:p>
    <w:p w14:paraId="6016F861" w14:textId="77777777" w:rsidR="00B3416F" w:rsidRPr="00B424A1" w:rsidRDefault="00B3416F" w:rsidP="00996F86"/>
    <w:p w14:paraId="77A76F84" w14:textId="77777777" w:rsidR="006E6F62" w:rsidRPr="00B424A1" w:rsidRDefault="006E6F62" w:rsidP="00B3416F"/>
    <w:p w14:paraId="2C3E0CF1" w14:textId="13A7F764" w:rsidR="00B3416F" w:rsidRPr="00B424A1" w:rsidRDefault="00B3416F" w:rsidP="006E6F62">
      <w:pPr>
        <w:pStyle w:val="TableFigure"/>
        <w:spacing w:before="0" w:line="276" w:lineRule="auto"/>
        <w:rPr>
          <w:b/>
          <w:bCs/>
        </w:rPr>
      </w:pPr>
      <w:r w:rsidRPr="00B424A1">
        <w:rPr>
          <w:b/>
          <w:bCs/>
        </w:rPr>
        <w:t>Table 4</w:t>
      </w:r>
    </w:p>
    <w:p w14:paraId="51547E51" w14:textId="2EA4E813" w:rsidR="00F163A7" w:rsidRPr="00B424A1" w:rsidRDefault="00B3416F" w:rsidP="00B3416F">
      <w:pPr>
        <w:pStyle w:val="TableFigure"/>
        <w:spacing w:line="276" w:lineRule="auto"/>
        <w:rPr>
          <w:i/>
          <w:iCs/>
        </w:rPr>
      </w:pPr>
      <w:r w:rsidRPr="00B424A1">
        <w:rPr>
          <w:i/>
          <w:iCs/>
        </w:rPr>
        <w:t>DASS Inter-Scale Correlations (n = 136)</w:t>
      </w:r>
    </w:p>
    <w:tbl>
      <w:tblPr>
        <w:tblStyle w:val="APAReport"/>
        <w:tblW w:w="0" w:type="auto"/>
        <w:tblLook w:val="04A0" w:firstRow="1" w:lastRow="0" w:firstColumn="1" w:lastColumn="0" w:noHBand="0" w:noVBand="1"/>
      </w:tblPr>
      <w:tblGrid>
        <w:gridCol w:w="2254"/>
        <w:gridCol w:w="2254"/>
        <w:gridCol w:w="2254"/>
        <w:gridCol w:w="2254"/>
      </w:tblGrid>
      <w:tr w:rsidR="00B424A1" w:rsidRPr="00B424A1" w14:paraId="468FE7ED" w14:textId="77777777" w:rsidTr="00B3416F">
        <w:trPr>
          <w:cnfStyle w:val="100000000000" w:firstRow="1" w:lastRow="0" w:firstColumn="0" w:lastColumn="0" w:oddVBand="0" w:evenVBand="0" w:oddHBand="0" w:evenHBand="0" w:firstRowFirstColumn="0" w:firstRowLastColumn="0" w:lastRowFirstColumn="0" w:lastRowLastColumn="0"/>
        </w:trPr>
        <w:tc>
          <w:tcPr>
            <w:tcW w:w="2254" w:type="dxa"/>
          </w:tcPr>
          <w:p w14:paraId="07BC5D0C" w14:textId="2E73EF4D" w:rsidR="00B3416F" w:rsidRPr="00B424A1" w:rsidRDefault="00B3416F" w:rsidP="00B3416F">
            <w:pPr>
              <w:spacing w:line="276" w:lineRule="auto"/>
            </w:pPr>
            <w:r w:rsidRPr="00B424A1">
              <w:t>DASS21</w:t>
            </w:r>
          </w:p>
        </w:tc>
        <w:tc>
          <w:tcPr>
            <w:tcW w:w="2254" w:type="dxa"/>
          </w:tcPr>
          <w:p w14:paraId="604A3727" w14:textId="5FEF9317" w:rsidR="00B3416F" w:rsidRPr="00B424A1" w:rsidRDefault="00B3416F" w:rsidP="00B3416F">
            <w:pPr>
              <w:spacing w:line="276" w:lineRule="auto"/>
              <w:jc w:val="center"/>
            </w:pPr>
            <w:r w:rsidRPr="00B424A1">
              <w:t>Depression</w:t>
            </w:r>
          </w:p>
        </w:tc>
        <w:tc>
          <w:tcPr>
            <w:tcW w:w="2254" w:type="dxa"/>
          </w:tcPr>
          <w:p w14:paraId="1A32A9F0" w14:textId="7D897FFE" w:rsidR="00B3416F" w:rsidRPr="00B424A1" w:rsidRDefault="00B3416F" w:rsidP="00B3416F">
            <w:pPr>
              <w:spacing w:line="276" w:lineRule="auto"/>
              <w:jc w:val="center"/>
            </w:pPr>
            <w:r w:rsidRPr="00B424A1">
              <w:t>Anxiety</w:t>
            </w:r>
          </w:p>
        </w:tc>
        <w:tc>
          <w:tcPr>
            <w:tcW w:w="2254" w:type="dxa"/>
          </w:tcPr>
          <w:p w14:paraId="24AE1CB4" w14:textId="40AE6953" w:rsidR="00B3416F" w:rsidRPr="00B424A1" w:rsidRDefault="00B3416F" w:rsidP="00B3416F">
            <w:pPr>
              <w:spacing w:line="276" w:lineRule="auto"/>
              <w:jc w:val="center"/>
            </w:pPr>
            <w:r w:rsidRPr="00B424A1">
              <w:t>Stress</w:t>
            </w:r>
          </w:p>
        </w:tc>
      </w:tr>
      <w:tr w:rsidR="00B424A1" w:rsidRPr="00B424A1" w14:paraId="70F94AB8" w14:textId="77777777" w:rsidTr="00B3416F">
        <w:tc>
          <w:tcPr>
            <w:tcW w:w="2254" w:type="dxa"/>
          </w:tcPr>
          <w:p w14:paraId="19C15454" w14:textId="72F4BBA2" w:rsidR="00B3416F" w:rsidRPr="00B424A1" w:rsidRDefault="00B3416F" w:rsidP="00B3416F">
            <w:pPr>
              <w:spacing w:line="276" w:lineRule="auto"/>
            </w:pPr>
            <w:r w:rsidRPr="00B424A1">
              <w:t>Depression</w:t>
            </w:r>
          </w:p>
        </w:tc>
        <w:tc>
          <w:tcPr>
            <w:tcW w:w="2254" w:type="dxa"/>
          </w:tcPr>
          <w:p w14:paraId="28CCDD34" w14:textId="340AC4D3" w:rsidR="00B3416F" w:rsidRPr="00B424A1" w:rsidRDefault="00B3416F" w:rsidP="00B3416F">
            <w:pPr>
              <w:spacing w:line="276" w:lineRule="auto"/>
              <w:jc w:val="center"/>
            </w:pPr>
            <w:r w:rsidRPr="00B424A1">
              <w:t>-</w:t>
            </w:r>
          </w:p>
        </w:tc>
        <w:tc>
          <w:tcPr>
            <w:tcW w:w="2254" w:type="dxa"/>
          </w:tcPr>
          <w:p w14:paraId="564EE0B1" w14:textId="77777777" w:rsidR="00B3416F" w:rsidRPr="00B424A1" w:rsidRDefault="00B3416F" w:rsidP="00B3416F">
            <w:pPr>
              <w:spacing w:line="276" w:lineRule="auto"/>
              <w:jc w:val="center"/>
            </w:pPr>
          </w:p>
        </w:tc>
        <w:tc>
          <w:tcPr>
            <w:tcW w:w="2254" w:type="dxa"/>
          </w:tcPr>
          <w:p w14:paraId="2B0EC71C" w14:textId="77777777" w:rsidR="00B3416F" w:rsidRPr="00B424A1" w:rsidRDefault="00B3416F" w:rsidP="00B3416F">
            <w:pPr>
              <w:spacing w:line="276" w:lineRule="auto"/>
              <w:jc w:val="center"/>
            </w:pPr>
          </w:p>
        </w:tc>
      </w:tr>
      <w:tr w:rsidR="00B424A1" w:rsidRPr="00B424A1" w14:paraId="1C3D3A46" w14:textId="77777777" w:rsidTr="00B3416F">
        <w:tc>
          <w:tcPr>
            <w:tcW w:w="2254" w:type="dxa"/>
          </w:tcPr>
          <w:p w14:paraId="26B474F9" w14:textId="4B84D6C9" w:rsidR="00B3416F" w:rsidRPr="00B424A1" w:rsidRDefault="00B3416F" w:rsidP="00B3416F">
            <w:pPr>
              <w:spacing w:line="276" w:lineRule="auto"/>
            </w:pPr>
            <w:r w:rsidRPr="00B424A1">
              <w:t>Anxiety</w:t>
            </w:r>
          </w:p>
        </w:tc>
        <w:tc>
          <w:tcPr>
            <w:tcW w:w="2254" w:type="dxa"/>
          </w:tcPr>
          <w:p w14:paraId="73F83F4F" w14:textId="44CE4F9D" w:rsidR="00B3416F" w:rsidRPr="00B424A1" w:rsidRDefault="00B3416F" w:rsidP="00B3416F">
            <w:pPr>
              <w:spacing w:line="276" w:lineRule="auto"/>
              <w:jc w:val="center"/>
            </w:pPr>
            <w:r w:rsidRPr="00B424A1">
              <w:t>.66*</w:t>
            </w:r>
          </w:p>
        </w:tc>
        <w:tc>
          <w:tcPr>
            <w:tcW w:w="2254" w:type="dxa"/>
          </w:tcPr>
          <w:p w14:paraId="15A1A526" w14:textId="1C2DA244" w:rsidR="00B3416F" w:rsidRPr="00B424A1" w:rsidRDefault="00B3416F" w:rsidP="00B3416F">
            <w:pPr>
              <w:spacing w:line="276" w:lineRule="auto"/>
              <w:jc w:val="center"/>
            </w:pPr>
            <w:r w:rsidRPr="00B424A1">
              <w:t>-</w:t>
            </w:r>
          </w:p>
        </w:tc>
        <w:tc>
          <w:tcPr>
            <w:tcW w:w="2254" w:type="dxa"/>
          </w:tcPr>
          <w:p w14:paraId="7549688F" w14:textId="77777777" w:rsidR="00B3416F" w:rsidRPr="00B424A1" w:rsidRDefault="00B3416F" w:rsidP="00B3416F">
            <w:pPr>
              <w:spacing w:line="276" w:lineRule="auto"/>
              <w:jc w:val="center"/>
            </w:pPr>
          </w:p>
        </w:tc>
      </w:tr>
      <w:tr w:rsidR="00B424A1" w:rsidRPr="00B424A1" w14:paraId="23149D7C" w14:textId="77777777" w:rsidTr="00B3416F">
        <w:tc>
          <w:tcPr>
            <w:tcW w:w="2254" w:type="dxa"/>
            <w:tcBorders>
              <w:bottom w:val="single" w:sz="12" w:space="0" w:color="auto"/>
            </w:tcBorders>
          </w:tcPr>
          <w:p w14:paraId="73F160E0" w14:textId="22C076DC" w:rsidR="00B3416F" w:rsidRPr="00B424A1" w:rsidRDefault="00B3416F" w:rsidP="00B3416F">
            <w:pPr>
              <w:spacing w:line="276" w:lineRule="auto"/>
            </w:pPr>
            <w:r w:rsidRPr="00B424A1">
              <w:t>Stress</w:t>
            </w:r>
          </w:p>
        </w:tc>
        <w:tc>
          <w:tcPr>
            <w:tcW w:w="2254" w:type="dxa"/>
            <w:tcBorders>
              <w:bottom w:val="single" w:sz="12" w:space="0" w:color="auto"/>
            </w:tcBorders>
          </w:tcPr>
          <w:p w14:paraId="0E1E5C3A" w14:textId="252DC776" w:rsidR="00B3416F" w:rsidRPr="00B424A1" w:rsidRDefault="00B3416F" w:rsidP="00B3416F">
            <w:pPr>
              <w:spacing w:line="276" w:lineRule="auto"/>
              <w:jc w:val="center"/>
            </w:pPr>
            <w:r w:rsidRPr="00B424A1">
              <w:t>.80*</w:t>
            </w:r>
          </w:p>
        </w:tc>
        <w:tc>
          <w:tcPr>
            <w:tcW w:w="2254" w:type="dxa"/>
            <w:tcBorders>
              <w:bottom w:val="single" w:sz="12" w:space="0" w:color="auto"/>
            </w:tcBorders>
          </w:tcPr>
          <w:p w14:paraId="3DC4D172" w14:textId="5FFBADB5" w:rsidR="00B3416F" w:rsidRPr="00B424A1" w:rsidRDefault="00B3416F" w:rsidP="00B3416F">
            <w:pPr>
              <w:spacing w:line="276" w:lineRule="auto"/>
              <w:jc w:val="center"/>
            </w:pPr>
            <w:r w:rsidRPr="00B424A1">
              <w:t>.71*</w:t>
            </w:r>
          </w:p>
        </w:tc>
        <w:tc>
          <w:tcPr>
            <w:tcW w:w="2254" w:type="dxa"/>
            <w:tcBorders>
              <w:bottom w:val="single" w:sz="12" w:space="0" w:color="auto"/>
            </w:tcBorders>
          </w:tcPr>
          <w:p w14:paraId="42A3DAFB" w14:textId="1DB6D11A" w:rsidR="00B3416F" w:rsidRPr="00B424A1" w:rsidRDefault="00B3416F" w:rsidP="00B3416F">
            <w:pPr>
              <w:spacing w:line="276" w:lineRule="auto"/>
              <w:jc w:val="center"/>
            </w:pPr>
            <w:r w:rsidRPr="00B424A1">
              <w:t>-</w:t>
            </w:r>
          </w:p>
        </w:tc>
      </w:tr>
      <w:tr w:rsidR="00B424A1" w:rsidRPr="00B424A1" w14:paraId="5E2C97F7" w14:textId="77777777" w:rsidTr="00B3416F">
        <w:tc>
          <w:tcPr>
            <w:tcW w:w="2254" w:type="dxa"/>
            <w:tcBorders>
              <w:top w:val="single" w:sz="12" w:space="0" w:color="auto"/>
              <w:bottom w:val="single" w:sz="12" w:space="0" w:color="auto"/>
            </w:tcBorders>
          </w:tcPr>
          <w:p w14:paraId="68EA70C4" w14:textId="45DB0B8D" w:rsidR="00B3416F" w:rsidRPr="00B424A1" w:rsidRDefault="00B3416F" w:rsidP="00B3416F">
            <w:pPr>
              <w:spacing w:line="276" w:lineRule="auto"/>
            </w:pPr>
            <w:r w:rsidRPr="00B424A1">
              <w:t>DASS42</w:t>
            </w:r>
          </w:p>
        </w:tc>
        <w:tc>
          <w:tcPr>
            <w:tcW w:w="2254" w:type="dxa"/>
            <w:tcBorders>
              <w:top w:val="single" w:sz="12" w:space="0" w:color="auto"/>
              <w:bottom w:val="single" w:sz="12" w:space="0" w:color="auto"/>
            </w:tcBorders>
          </w:tcPr>
          <w:p w14:paraId="04F4FD6D" w14:textId="16E786C4" w:rsidR="00B3416F" w:rsidRPr="00B424A1" w:rsidRDefault="00B3416F" w:rsidP="00B3416F">
            <w:pPr>
              <w:spacing w:line="276" w:lineRule="auto"/>
              <w:jc w:val="center"/>
            </w:pPr>
            <w:r w:rsidRPr="00B424A1">
              <w:t>Depression</w:t>
            </w:r>
          </w:p>
        </w:tc>
        <w:tc>
          <w:tcPr>
            <w:tcW w:w="2254" w:type="dxa"/>
            <w:tcBorders>
              <w:top w:val="single" w:sz="12" w:space="0" w:color="auto"/>
              <w:bottom w:val="single" w:sz="12" w:space="0" w:color="auto"/>
            </w:tcBorders>
          </w:tcPr>
          <w:p w14:paraId="45AAF97E" w14:textId="4B29C95F" w:rsidR="00B3416F" w:rsidRPr="00B424A1" w:rsidRDefault="00B3416F" w:rsidP="00B3416F">
            <w:pPr>
              <w:spacing w:line="276" w:lineRule="auto"/>
              <w:jc w:val="center"/>
            </w:pPr>
            <w:r w:rsidRPr="00B424A1">
              <w:t>Anxiety</w:t>
            </w:r>
          </w:p>
        </w:tc>
        <w:tc>
          <w:tcPr>
            <w:tcW w:w="2254" w:type="dxa"/>
            <w:tcBorders>
              <w:top w:val="single" w:sz="12" w:space="0" w:color="auto"/>
              <w:bottom w:val="single" w:sz="12" w:space="0" w:color="auto"/>
            </w:tcBorders>
          </w:tcPr>
          <w:p w14:paraId="4B3227C5" w14:textId="1D1F15E2" w:rsidR="00B3416F" w:rsidRPr="00B424A1" w:rsidRDefault="00B3416F" w:rsidP="00B3416F">
            <w:pPr>
              <w:spacing w:line="276" w:lineRule="auto"/>
              <w:jc w:val="center"/>
            </w:pPr>
            <w:r w:rsidRPr="00B424A1">
              <w:t>Stress</w:t>
            </w:r>
          </w:p>
        </w:tc>
      </w:tr>
      <w:tr w:rsidR="00B424A1" w:rsidRPr="00B424A1" w14:paraId="49C97901" w14:textId="77777777" w:rsidTr="00B3416F">
        <w:tc>
          <w:tcPr>
            <w:tcW w:w="2254" w:type="dxa"/>
            <w:tcBorders>
              <w:top w:val="single" w:sz="12" w:space="0" w:color="auto"/>
            </w:tcBorders>
          </w:tcPr>
          <w:p w14:paraId="6FCED20B" w14:textId="3777BE57" w:rsidR="00B3416F" w:rsidRPr="00B424A1" w:rsidRDefault="00B3416F" w:rsidP="00B3416F">
            <w:pPr>
              <w:spacing w:line="276" w:lineRule="auto"/>
            </w:pPr>
            <w:r w:rsidRPr="00B424A1">
              <w:t>Depression</w:t>
            </w:r>
          </w:p>
        </w:tc>
        <w:tc>
          <w:tcPr>
            <w:tcW w:w="2254" w:type="dxa"/>
            <w:tcBorders>
              <w:top w:val="single" w:sz="12" w:space="0" w:color="auto"/>
            </w:tcBorders>
          </w:tcPr>
          <w:p w14:paraId="6C5CDEBD" w14:textId="09808BBB" w:rsidR="00B3416F" w:rsidRPr="00B424A1" w:rsidRDefault="00B3416F" w:rsidP="00B3416F">
            <w:pPr>
              <w:spacing w:line="276" w:lineRule="auto"/>
              <w:jc w:val="center"/>
            </w:pPr>
            <w:r w:rsidRPr="00B424A1">
              <w:t>-</w:t>
            </w:r>
          </w:p>
        </w:tc>
        <w:tc>
          <w:tcPr>
            <w:tcW w:w="2254" w:type="dxa"/>
            <w:tcBorders>
              <w:top w:val="single" w:sz="12" w:space="0" w:color="auto"/>
            </w:tcBorders>
          </w:tcPr>
          <w:p w14:paraId="41D9E47B" w14:textId="77777777" w:rsidR="00B3416F" w:rsidRPr="00B424A1" w:rsidRDefault="00B3416F" w:rsidP="00B3416F">
            <w:pPr>
              <w:spacing w:line="276" w:lineRule="auto"/>
              <w:jc w:val="center"/>
            </w:pPr>
          </w:p>
        </w:tc>
        <w:tc>
          <w:tcPr>
            <w:tcW w:w="2254" w:type="dxa"/>
            <w:tcBorders>
              <w:top w:val="single" w:sz="12" w:space="0" w:color="auto"/>
            </w:tcBorders>
          </w:tcPr>
          <w:p w14:paraId="5F1F2B35" w14:textId="77777777" w:rsidR="00B3416F" w:rsidRPr="00B424A1" w:rsidRDefault="00B3416F" w:rsidP="00B3416F">
            <w:pPr>
              <w:spacing w:line="276" w:lineRule="auto"/>
              <w:jc w:val="center"/>
            </w:pPr>
          </w:p>
        </w:tc>
      </w:tr>
      <w:tr w:rsidR="00B424A1" w:rsidRPr="00B424A1" w14:paraId="128ACF9C" w14:textId="77777777" w:rsidTr="00B3416F">
        <w:tc>
          <w:tcPr>
            <w:tcW w:w="2254" w:type="dxa"/>
          </w:tcPr>
          <w:p w14:paraId="5133F2A7" w14:textId="16C163F9" w:rsidR="00B3416F" w:rsidRPr="00B424A1" w:rsidRDefault="00B3416F" w:rsidP="00B3416F">
            <w:pPr>
              <w:spacing w:line="276" w:lineRule="auto"/>
            </w:pPr>
            <w:r w:rsidRPr="00B424A1">
              <w:t>Anxiety</w:t>
            </w:r>
          </w:p>
        </w:tc>
        <w:tc>
          <w:tcPr>
            <w:tcW w:w="2254" w:type="dxa"/>
          </w:tcPr>
          <w:p w14:paraId="50F0E1F5" w14:textId="725FE307" w:rsidR="00B3416F" w:rsidRPr="00B424A1" w:rsidRDefault="00B3416F" w:rsidP="00B3416F">
            <w:pPr>
              <w:spacing w:line="276" w:lineRule="auto"/>
              <w:jc w:val="center"/>
            </w:pPr>
            <w:r w:rsidRPr="00B424A1">
              <w:t>.68*</w:t>
            </w:r>
          </w:p>
        </w:tc>
        <w:tc>
          <w:tcPr>
            <w:tcW w:w="2254" w:type="dxa"/>
          </w:tcPr>
          <w:p w14:paraId="4419666B" w14:textId="237D4663" w:rsidR="00B3416F" w:rsidRPr="00B424A1" w:rsidRDefault="00B3416F" w:rsidP="00B3416F">
            <w:pPr>
              <w:spacing w:line="276" w:lineRule="auto"/>
              <w:jc w:val="center"/>
            </w:pPr>
            <w:r w:rsidRPr="00B424A1">
              <w:t>-</w:t>
            </w:r>
          </w:p>
        </w:tc>
        <w:tc>
          <w:tcPr>
            <w:tcW w:w="2254" w:type="dxa"/>
          </w:tcPr>
          <w:p w14:paraId="1D7AFEB9" w14:textId="77777777" w:rsidR="00B3416F" w:rsidRPr="00B424A1" w:rsidRDefault="00B3416F" w:rsidP="00B3416F">
            <w:pPr>
              <w:spacing w:line="276" w:lineRule="auto"/>
              <w:jc w:val="center"/>
            </w:pPr>
          </w:p>
        </w:tc>
      </w:tr>
      <w:tr w:rsidR="00B424A1" w:rsidRPr="00B424A1" w14:paraId="5D6530CB" w14:textId="77777777" w:rsidTr="00B3416F">
        <w:tc>
          <w:tcPr>
            <w:tcW w:w="2254" w:type="dxa"/>
          </w:tcPr>
          <w:p w14:paraId="724B4353" w14:textId="074E484D" w:rsidR="00B3416F" w:rsidRPr="00B424A1" w:rsidRDefault="00B3416F" w:rsidP="00B3416F">
            <w:pPr>
              <w:spacing w:line="276" w:lineRule="auto"/>
            </w:pPr>
            <w:r w:rsidRPr="00B424A1">
              <w:t>Stress</w:t>
            </w:r>
          </w:p>
        </w:tc>
        <w:tc>
          <w:tcPr>
            <w:tcW w:w="2254" w:type="dxa"/>
          </w:tcPr>
          <w:p w14:paraId="4C62B512" w14:textId="2265DC15" w:rsidR="00B3416F" w:rsidRPr="00B424A1" w:rsidRDefault="00B3416F" w:rsidP="00B3416F">
            <w:pPr>
              <w:spacing w:line="276" w:lineRule="auto"/>
              <w:jc w:val="center"/>
            </w:pPr>
            <w:r w:rsidRPr="00B424A1">
              <w:t>.83*</w:t>
            </w:r>
          </w:p>
        </w:tc>
        <w:tc>
          <w:tcPr>
            <w:tcW w:w="2254" w:type="dxa"/>
          </w:tcPr>
          <w:p w14:paraId="01C95F5D" w14:textId="1AC19F4F" w:rsidR="00B3416F" w:rsidRPr="00B424A1" w:rsidRDefault="00B3416F" w:rsidP="00B3416F">
            <w:pPr>
              <w:spacing w:line="276" w:lineRule="auto"/>
              <w:jc w:val="center"/>
            </w:pPr>
            <w:r w:rsidRPr="00B424A1">
              <w:t>.73*</w:t>
            </w:r>
          </w:p>
        </w:tc>
        <w:tc>
          <w:tcPr>
            <w:tcW w:w="2254" w:type="dxa"/>
          </w:tcPr>
          <w:p w14:paraId="255C34E0" w14:textId="1801FDB3" w:rsidR="00B3416F" w:rsidRPr="00B424A1" w:rsidRDefault="00B3416F" w:rsidP="00B3416F">
            <w:pPr>
              <w:spacing w:line="276" w:lineRule="auto"/>
              <w:jc w:val="center"/>
            </w:pPr>
            <w:r w:rsidRPr="00B424A1">
              <w:t>-</w:t>
            </w:r>
          </w:p>
        </w:tc>
      </w:tr>
    </w:tbl>
    <w:p w14:paraId="70C67DEB" w14:textId="4D3BC04D" w:rsidR="006E6F62" w:rsidRPr="00B424A1" w:rsidRDefault="006E6F62" w:rsidP="00B3416F">
      <w:pPr>
        <w:pStyle w:val="TableFigure"/>
        <w:spacing w:before="0" w:line="276" w:lineRule="auto"/>
      </w:pPr>
      <w:r w:rsidRPr="00B424A1">
        <w:rPr>
          <w:i/>
          <w:iCs/>
        </w:rPr>
        <w:t>Note</w:t>
      </w:r>
      <w:r w:rsidRPr="00996F86">
        <w:t>.</w:t>
      </w:r>
      <w:r w:rsidRPr="00B424A1">
        <w:t xml:space="preserve"> Inter-scale correlations</w:t>
      </w:r>
      <w:r w:rsidRPr="00996F86">
        <w:t xml:space="preserve"> were </w:t>
      </w:r>
      <w:r w:rsidRPr="00B424A1">
        <w:t>calculated between</w:t>
      </w:r>
      <w:r w:rsidRPr="00996F86">
        <w:t xml:space="preserve"> the </w:t>
      </w:r>
      <w:r w:rsidRPr="00B424A1">
        <w:t xml:space="preserve">raw scale scores using the Pearson’s coefficient, </w:t>
      </w:r>
      <w:r w:rsidRPr="00B424A1">
        <w:rPr>
          <w:i/>
          <w:iCs/>
        </w:rPr>
        <w:t>r</w:t>
      </w:r>
      <w:r w:rsidRPr="00B424A1">
        <w:t>.</w:t>
      </w:r>
    </w:p>
    <w:p w14:paraId="37E00DEE" w14:textId="5FE3DE16" w:rsidR="008A3859" w:rsidRPr="00AD0196" w:rsidRDefault="00B3416F" w:rsidP="00AD0196">
      <w:pPr>
        <w:pStyle w:val="TableFigure"/>
        <w:spacing w:before="0" w:line="276" w:lineRule="auto"/>
      </w:pPr>
      <w:r w:rsidRPr="00B424A1">
        <w:t xml:space="preserve">* </w:t>
      </w:r>
      <w:r w:rsidRPr="00B424A1">
        <w:rPr>
          <w:i/>
          <w:iCs/>
        </w:rPr>
        <w:t>p</w:t>
      </w:r>
      <w:r w:rsidRPr="00B424A1">
        <w:t xml:space="preserve"> &lt; .001</w:t>
      </w:r>
      <w:bookmarkEnd w:id="66"/>
      <w:bookmarkEnd w:id="67"/>
      <w:bookmarkEnd w:id="68"/>
      <w:bookmarkEnd w:id="69"/>
      <w:r w:rsidR="008A3859">
        <w:rPr>
          <w:rFonts w:ascii="Times New Roman" w:hAnsi="Times New Roman" w:cs="Times New Roman"/>
          <w:b/>
          <w:bCs/>
        </w:rPr>
        <w:br w:type="page"/>
      </w:r>
    </w:p>
    <w:p w14:paraId="02151034" w14:textId="4A624AE5" w:rsidR="00D05D95" w:rsidRPr="00B424A1" w:rsidRDefault="00294CDF" w:rsidP="000D16D4">
      <w:pPr>
        <w:ind w:firstLine="0"/>
        <w:rPr>
          <w:rFonts w:ascii="Times New Roman" w:hAnsi="Times New Roman" w:cs="Times New Roman"/>
          <w:b/>
          <w:bCs/>
        </w:rPr>
      </w:pPr>
      <w:r w:rsidRPr="00B424A1">
        <w:rPr>
          <w:rFonts w:ascii="Times New Roman" w:hAnsi="Times New Roman" w:cs="Times New Roman"/>
          <w:b/>
          <w:bCs/>
        </w:rPr>
        <w:lastRenderedPageBreak/>
        <w:t xml:space="preserve">DASS21 </w:t>
      </w:r>
      <w:r w:rsidR="00780376" w:rsidRPr="00B424A1">
        <w:rPr>
          <w:rFonts w:ascii="Times New Roman" w:hAnsi="Times New Roman" w:cs="Times New Roman"/>
          <w:b/>
          <w:bCs/>
        </w:rPr>
        <w:t>Factor Analys</w:t>
      </w:r>
      <w:r w:rsidR="00274C9C">
        <w:rPr>
          <w:rFonts w:ascii="Times New Roman" w:hAnsi="Times New Roman" w:cs="Times New Roman"/>
          <w:b/>
          <w:bCs/>
        </w:rPr>
        <w:t>es</w:t>
      </w:r>
    </w:p>
    <w:p w14:paraId="4B1CD155" w14:textId="0948480A" w:rsidR="001D71DE" w:rsidRPr="00B424A1" w:rsidRDefault="001D71DE" w:rsidP="001D71DE">
      <w:pPr>
        <w:pStyle w:val="Heading3"/>
      </w:pPr>
      <w:r w:rsidRPr="00B424A1">
        <w:t>Model Fit Indices</w:t>
      </w:r>
    </w:p>
    <w:p w14:paraId="2F94ADCC" w14:textId="7A6751E1" w:rsidR="00D05D95" w:rsidRPr="00E956DD" w:rsidRDefault="00E956DD" w:rsidP="00D05D95">
      <w:r>
        <w:t>While not the primary focus of this study</w:t>
      </w:r>
      <w:r w:rsidR="004A40A6">
        <w:t xml:space="preserve">, </w:t>
      </w:r>
      <w:r w:rsidR="007C3138">
        <w:t>Table 5 provides model fit indices for the DASS21 unidimensional, first</w:t>
      </w:r>
      <w:r w:rsidR="001C7FB4">
        <w:t>/</w:t>
      </w:r>
      <w:r w:rsidR="007C3138">
        <w:t xml:space="preserve">second-order, and bifactor models. According to these indices, the unidimensional model had a poor fit, while </w:t>
      </w:r>
      <w:r>
        <w:t>the other models showed marginal but significantly improved fit compared to the unidimensional model (</w:t>
      </w:r>
      <w:r>
        <w:rPr>
          <w:i/>
          <w:iCs/>
        </w:rPr>
        <w:t>p</w:t>
      </w:r>
      <w:r>
        <w:t xml:space="preserve">-values </w:t>
      </w:r>
      <w:r>
        <w:rPr>
          <w:rFonts w:cstheme="minorHAnsi"/>
        </w:rPr>
        <w:t>&lt;</w:t>
      </w:r>
      <w:r>
        <w:t xml:space="preserve"> .05)</w:t>
      </w:r>
      <w:r w:rsidR="007C3138">
        <w:t>.</w:t>
      </w:r>
      <w:r>
        <w:t xml:space="preserve"> The bifactor model demonstrated a slightly better </w:t>
      </w:r>
      <w:r w:rsidRPr="00E956DD">
        <w:rPr>
          <w:rFonts w:cstheme="minorHAnsi"/>
          <w:i/>
          <w:iCs/>
        </w:rPr>
        <w:t>χ</w:t>
      </w:r>
      <w:r w:rsidRPr="00E956DD">
        <w:rPr>
          <w:vertAlign w:val="superscript"/>
        </w:rPr>
        <w:t>2</w:t>
      </w:r>
      <w:r>
        <w:t xml:space="preserve"> fit statistic </w:t>
      </w:r>
      <w:r w:rsidRPr="00E956DD">
        <w:t>than</w:t>
      </w:r>
      <w:r>
        <w:t xml:space="preserve"> the first</w:t>
      </w:r>
      <w:r w:rsidR="007F5057">
        <w:t xml:space="preserve">- and </w:t>
      </w:r>
      <w:r>
        <w:t>second-order factor model</w:t>
      </w:r>
      <w:r w:rsidR="007F5057">
        <w:t>s</w:t>
      </w:r>
      <w:r>
        <w:t>, but the difference did not quite meet the threshold for statistical significance (</w:t>
      </w:r>
      <w:r>
        <w:rPr>
          <w:i/>
          <w:iCs/>
        </w:rPr>
        <w:t>p</w:t>
      </w:r>
      <w:r>
        <w:t xml:space="preserve"> = .051). Although further interrogation is necessary, these fit indices suggest that neither the unidimensional nor conventional three-factor model provide a good representation of the DASS21 data structure in TBI.</w:t>
      </w:r>
    </w:p>
    <w:p w14:paraId="26456C8E" w14:textId="77777777" w:rsidR="009A25E0" w:rsidRDefault="009A25E0" w:rsidP="00D05D95"/>
    <w:p w14:paraId="08A36431" w14:textId="77777777" w:rsidR="009A25E0" w:rsidRPr="00B424A1" w:rsidRDefault="009A25E0" w:rsidP="009A25E0">
      <w:pPr>
        <w:pStyle w:val="TableFigure"/>
        <w:spacing w:before="0" w:line="276" w:lineRule="auto"/>
        <w:rPr>
          <w:b/>
          <w:bCs/>
        </w:rPr>
      </w:pPr>
      <w:r w:rsidRPr="00B424A1">
        <w:rPr>
          <w:b/>
          <w:bCs/>
        </w:rPr>
        <w:t>Table 5</w:t>
      </w:r>
    </w:p>
    <w:p w14:paraId="7F477454" w14:textId="77777777" w:rsidR="009A25E0" w:rsidRPr="00B424A1" w:rsidRDefault="009A25E0" w:rsidP="009A25E0">
      <w:pPr>
        <w:pStyle w:val="TableFigure"/>
        <w:spacing w:line="276" w:lineRule="auto"/>
        <w:rPr>
          <w:i/>
          <w:iCs/>
        </w:rPr>
      </w:pPr>
      <w:r w:rsidRPr="00B424A1">
        <w:rPr>
          <w:i/>
          <w:iCs/>
        </w:rPr>
        <w:t>DASS21 Model Fit Statistics</w:t>
      </w:r>
    </w:p>
    <w:tbl>
      <w:tblPr>
        <w:tblStyle w:val="APAReport"/>
        <w:tblW w:w="9015" w:type="dxa"/>
        <w:tblLayout w:type="fixed"/>
        <w:tblLook w:val="04A0" w:firstRow="1" w:lastRow="0" w:firstColumn="1" w:lastColumn="0" w:noHBand="0" w:noVBand="1"/>
      </w:tblPr>
      <w:tblGrid>
        <w:gridCol w:w="2552"/>
        <w:gridCol w:w="709"/>
        <w:gridCol w:w="1438"/>
        <w:gridCol w:w="1439"/>
        <w:gridCol w:w="1438"/>
        <w:gridCol w:w="1439"/>
      </w:tblGrid>
      <w:tr w:rsidR="009A25E0" w:rsidRPr="00B424A1" w14:paraId="0A3A211B" w14:textId="77777777" w:rsidTr="00F50514">
        <w:trPr>
          <w:cnfStyle w:val="100000000000" w:firstRow="1" w:lastRow="0" w:firstColumn="0" w:lastColumn="0" w:oddVBand="0" w:evenVBand="0" w:oddHBand="0" w:evenHBand="0" w:firstRowFirstColumn="0" w:firstRowLastColumn="0" w:lastRowFirstColumn="0" w:lastRowLastColumn="0"/>
        </w:trPr>
        <w:tc>
          <w:tcPr>
            <w:tcW w:w="2552" w:type="dxa"/>
          </w:tcPr>
          <w:p w14:paraId="7346B41F" w14:textId="77777777" w:rsidR="009A25E0" w:rsidRPr="00B424A1" w:rsidRDefault="009A25E0" w:rsidP="00F50514">
            <w:pPr>
              <w:spacing w:line="276" w:lineRule="auto"/>
            </w:pPr>
            <w:r w:rsidRPr="00B424A1">
              <w:t>Factor model</w:t>
            </w:r>
          </w:p>
        </w:tc>
        <w:tc>
          <w:tcPr>
            <w:tcW w:w="709" w:type="dxa"/>
          </w:tcPr>
          <w:p w14:paraId="7A7901F8" w14:textId="77777777" w:rsidR="009A25E0" w:rsidRPr="00B424A1" w:rsidRDefault="009A25E0" w:rsidP="00F50514">
            <w:pPr>
              <w:spacing w:line="276" w:lineRule="auto"/>
              <w:jc w:val="center"/>
              <w:rPr>
                <w:i/>
                <w:iCs/>
              </w:rPr>
            </w:pPr>
            <w:r w:rsidRPr="00B424A1">
              <w:rPr>
                <w:i/>
                <w:iCs/>
              </w:rPr>
              <w:t>df</w:t>
            </w:r>
          </w:p>
        </w:tc>
        <w:tc>
          <w:tcPr>
            <w:tcW w:w="1438" w:type="dxa"/>
          </w:tcPr>
          <w:p w14:paraId="0F4D78EA" w14:textId="77777777" w:rsidR="009A25E0" w:rsidRPr="00B424A1" w:rsidRDefault="009A25E0" w:rsidP="00F50514">
            <w:pPr>
              <w:spacing w:line="276" w:lineRule="auto"/>
              <w:jc w:val="center"/>
              <w:rPr>
                <w:vertAlign w:val="superscript"/>
              </w:rPr>
            </w:pPr>
            <w:r w:rsidRPr="00B424A1">
              <w:rPr>
                <w:rFonts w:cstheme="minorHAnsi"/>
                <w:i/>
                <w:iCs/>
              </w:rPr>
              <w:t>χ</w:t>
            </w:r>
            <w:r w:rsidRPr="00B424A1">
              <w:rPr>
                <w:vertAlign w:val="superscript"/>
              </w:rPr>
              <w:t>2</w:t>
            </w:r>
          </w:p>
        </w:tc>
        <w:tc>
          <w:tcPr>
            <w:tcW w:w="1439" w:type="dxa"/>
          </w:tcPr>
          <w:p w14:paraId="2A245930" w14:textId="77777777" w:rsidR="009A25E0" w:rsidRPr="00B424A1" w:rsidRDefault="009A25E0" w:rsidP="00F50514">
            <w:pPr>
              <w:spacing w:line="276" w:lineRule="auto"/>
              <w:jc w:val="center"/>
            </w:pPr>
            <w:r w:rsidRPr="00B424A1">
              <w:t>CFI</w:t>
            </w:r>
          </w:p>
        </w:tc>
        <w:tc>
          <w:tcPr>
            <w:tcW w:w="1438" w:type="dxa"/>
          </w:tcPr>
          <w:p w14:paraId="4F7E5869" w14:textId="77777777" w:rsidR="009A25E0" w:rsidRPr="00B424A1" w:rsidRDefault="009A25E0" w:rsidP="00F50514">
            <w:pPr>
              <w:spacing w:line="276" w:lineRule="auto"/>
              <w:jc w:val="center"/>
            </w:pPr>
            <w:r w:rsidRPr="00B424A1">
              <w:t>TLI</w:t>
            </w:r>
          </w:p>
        </w:tc>
        <w:tc>
          <w:tcPr>
            <w:tcW w:w="1439" w:type="dxa"/>
          </w:tcPr>
          <w:p w14:paraId="3D12830B" w14:textId="77777777" w:rsidR="009A25E0" w:rsidRPr="00B424A1" w:rsidRDefault="009A25E0" w:rsidP="00F50514">
            <w:pPr>
              <w:spacing w:line="276" w:lineRule="auto"/>
              <w:jc w:val="center"/>
            </w:pPr>
            <w:r w:rsidRPr="00B424A1">
              <w:t>RMSEA</w:t>
            </w:r>
          </w:p>
        </w:tc>
      </w:tr>
      <w:tr w:rsidR="009A25E0" w:rsidRPr="00B424A1" w14:paraId="0AB1A072" w14:textId="77777777" w:rsidTr="00F50514">
        <w:tc>
          <w:tcPr>
            <w:tcW w:w="2552" w:type="dxa"/>
          </w:tcPr>
          <w:p w14:paraId="7314AFB2" w14:textId="77777777" w:rsidR="009A25E0" w:rsidRPr="00B424A1" w:rsidRDefault="009A25E0" w:rsidP="00F50514">
            <w:pPr>
              <w:spacing w:line="276" w:lineRule="auto"/>
            </w:pPr>
            <w:r w:rsidRPr="00B424A1">
              <w:t xml:space="preserve">Unidimensional </w:t>
            </w:r>
          </w:p>
        </w:tc>
        <w:tc>
          <w:tcPr>
            <w:tcW w:w="709" w:type="dxa"/>
          </w:tcPr>
          <w:p w14:paraId="7BA523EA" w14:textId="77777777" w:rsidR="009A25E0" w:rsidRPr="00B424A1" w:rsidRDefault="009A25E0" w:rsidP="00F50514">
            <w:pPr>
              <w:spacing w:line="276" w:lineRule="auto"/>
              <w:jc w:val="center"/>
            </w:pPr>
            <w:r w:rsidRPr="00B424A1">
              <w:t>189</w:t>
            </w:r>
          </w:p>
        </w:tc>
        <w:tc>
          <w:tcPr>
            <w:tcW w:w="1438" w:type="dxa"/>
          </w:tcPr>
          <w:p w14:paraId="095FC9B6" w14:textId="77777777" w:rsidR="009A25E0" w:rsidRPr="00B424A1" w:rsidRDefault="009A25E0" w:rsidP="00F50514">
            <w:pPr>
              <w:spacing w:line="276" w:lineRule="auto"/>
              <w:jc w:val="center"/>
              <w:rPr>
                <w:vertAlign w:val="superscript"/>
              </w:rPr>
            </w:pPr>
            <w:r w:rsidRPr="00B424A1">
              <w:t>520.377</w:t>
            </w:r>
            <w:r w:rsidRPr="00B424A1">
              <w:rPr>
                <w:vertAlign w:val="superscript"/>
              </w:rPr>
              <w:t>a,b</w:t>
            </w:r>
          </w:p>
        </w:tc>
        <w:tc>
          <w:tcPr>
            <w:tcW w:w="1439" w:type="dxa"/>
          </w:tcPr>
          <w:p w14:paraId="3ACA0EC7" w14:textId="77777777" w:rsidR="009A25E0" w:rsidRPr="00B424A1" w:rsidRDefault="009A25E0" w:rsidP="00F50514">
            <w:pPr>
              <w:spacing w:line="276" w:lineRule="auto"/>
              <w:jc w:val="center"/>
            </w:pPr>
            <w:r w:rsidRPr="00B424A1">
              <w:t>.818</w:t>
            </w:r>
          </w:p>
        </w:tc>
        <w:tc>
          <w:tcPr>
            <w:tcW w:w="1438" w:type="dxa"/>
          </w:tcPr>
          <w:p w14:paraId="74A5C2F4" w14:textId="77777777" w:rsidR="009A25E0" w:rsidRPr="00B424A1" w:rsidRDefault="009A25E0" w:rsidP="00F50514">
            <w:pPr>
              <w:spacing w:line="276" w:lineRule="auto"/>
              <w:jc w:val="center"/>
            </w:pPr>
            <w:r w:rsidRPr="00B424A1">
              <w:t>.798</w:t>
            </w:r>
          </w:p>
        </w:tc>
        <w:tc>
          <w:tcPr>
            <w:tcW w:w="1439" w:type="dxa"/>
          </w:tcPr>
          <w:p w14:paraId="1635029B" w14:textId="77777777" w:rsidR="009A25E0" w:rsidRPr="00B424A1" w:rsidRDefault="009A25E0" w:rsidP="00F50514">
            <w:pPr>
              <w:spacing w:line="276" w:lineRule="auto"/>
              <w:jc w:val="center"/>
            </w:pPr>
            <w:r w:rsidRPr="00B424A1">
              <w:t>.114</w:t>
            </w:r>
          </w:p>
        </w:tc>
      </w:tr>
      <w:tr w:rsidR="009A25E0" w:rsidRPr="00B424A1" w14:paraId="66C9DC6E" w14:textId="77777777" w:rsidTr="00F50514">
        <w:tc>
          <w:tcPr>
            <w:tcW w:w="2552" w:type="dxa"/>
          </w:tcPr>
          <w:p w14:paraId="5B64E85D" w14:textId="77777777" w:rsidR="009A25E0" w:rsidRPr="00B424A1" w:rsidRDefault="009A25E0" w:rsidP="00F50514">
            <w:pPr>
              <w:spacing w:line="276" w:lineRule="auto"/>
            </w:pPr>
            <w:r w:rsidRPr="00B424A1">
              <w:t>First- and second-order</w:t>
            </w:r>
          </w:p>
        </w:tc>
        <w:tc>
          <w:tcPr>
            <w:tcW w:w="709" w:type="dxa"/>
          </w:tcPr>
          <w:p w14:paraId="49332568" w14:textId="77777777" w:rsidR="009A25E0" w:rsidRPr="00B424A1" w:rsidRDefault="009A25E0" w:rsidP="00F50514">
            <w:pPr>
              <w:spacing w:line="276" w:lineRule="auto"/>
              <w:jc w:val="center"/>
            </w:pPr>
            <w:r w:rsidRPr="00B424A1">
              <w:t>186</w:t>
            </w:r>
          </w:p>
        </w:tc>
        <w:tc>
          <w:tcPr>
            <w:tcW w:w="1438" w:type="dxa"/>
          </w:tcPr>
          <w:p w14:paraId="4A2ED6A8" w14:textId="77777777" w:rsidR="009A25E0" w:rsidRPr="00B424A1" w:rsidRDefault="009A25E0" w:rsidP="00F50514">
            <w:pPr>
              <w:spacing w:line="276" w:lineRule="auto"/>
              <w:jc w:val="center"/>
            </w:pPr>
            <w:r w:rsidRPr="00B424A1">
              <w:t>371.646</w:t>
            </w:r>
            <w:r w:rsidRPr="00B424A1">
              <w:rPr>
                <w:vertAlign w:val="superscript"/>
              </w:rPr>
              <w:t>a</w:t>
            </w:r>
          </w:p>
        </w:tc>
        <w:tc>
          <w:tcPr>
            <w:tcW w:w="1439" w:type="dxa"/>
          </w:tcPr>
          <w:p w14:paraId="01EDB6A3" w14:textId="77777777" w:rsidR="009A25E0" w:rsidRPr="00B424A1" w:rsidRDefault="009A25E0" w:rsidP="00F50514">
            <w:pPr>
              <w:spacing w:line="276" w:lineRule="auto"/>
              <w:jc w:val="center"/>
            </w:pPr>
            <w:r w:rsidRPr="00B424A1">
              <w:t>.898</w:t>
            </w:r>
          </w:p>
        </w:tc>
        <w:tc>
          <w:tcPr>
            <w:tcW w:w="1438" w:type="dxa"/>
          </w:tcPr>
          <w:p w14:paraId="17844942" w14:textId="77777777" w:rsidR="009A25E0" w:rsidRPr="00B424A1" w:rsidRDefault="009A25E0" w:rsidP="00F50514">
            <w:pPr>
              <w:spacing w:line="276" w:lineRule="auto"/>
              <w:jc w:val="center"/>
            </w:pPr>
            <w:r w:rsidRPr="00B424A1">
              <w:t>.885</w:t>
            </w:r>
          </w:p>
        </w:tc>
        <w:tc>
          <w:tcPr>
            <w:tcW w:w="1439" w:type="dxa"/>
          </w:tcPr>
          <w:p w14:paraId="48FB2BBD" w14:textId="77777777" w:rsidR="009A25E0" w:rsidRPr="00B424A1" w:rsidRDefault="009A25E0" w:rsidP="00F50514">
            <w:pPr>
              <w:spacing w:line="276" w:lineRule="auto"/>
              <w:jc w:val="center"/>
            </w:pPr>
            <w:r w:rsidRPr="00B424A1">
              <w:t>.086</w:t>
            </w:r>
          </w:p>
        </w:tc>
      </w:tr>
      <w:tr w:rsidR="009A25E0" w:rsidRPr="00B424A1" w14:paraId="1221079B" w14:textId="77777777" w:rsidTr="00F50514">
        <w:tc>
          <w:tcPr>
            <w:tcW w:w="2552" w:type="dxa"/>
          </w:tcPr>
          <w:p w14:paraId="691A61F1" w14:textId="77777777" w:rsidR="009A25E0" w:rsidRPr="00B424A1" w:rsidRDefault="009A25E0" w:rsidP="00F50514">
            <w:pPr>
              <w:spacing w:line="276" w:lineRule="auto"/>
            </w:pPr>
            <w:r w:rsidRPr="00B424A1">
              <w:t>Bifactor</w:t>
            </w:r>
          </w:p>
        </w:tc>
        <w:tc>
          <w:tcPr>
            <w:tcW w:w="709" w:type="dxa"/>
          </w:tcPr>
          <w:p w14:paraId="342C4FAA" w14:textId="77777777" w:rsidR="009A25E0" w:rsidRPr="00B424A1" w:rsidRDefault="009A25E0" w:rsidP="00F50514">
            <w:pPr>
              <w:spacing w:line="276" w:lineRule="auto"/>
              <w:jc w:val="center"/>
            </w:pPr>
            <w:r w:rsidRPr="00B424A1">
              <w:t>168</w:t>
            </w:r>
          </w:p>
        </w:tc>
        <w:tc>
          <w:tcPr>
            <w:tcW w:w="1438" w:type="dxa"/>
          </w:tcPr>
          <w:p w14:paraId="22F902ED" w14:textId="77777777" w:rsidR="009A25E0" w:rsidRPr="00B424A1" w:rsidRDefault="009A25E0" w:rsidP="00F50514">
            <w:pPr>
              <w:spacing w:line="276" w:lineRule="auto"/>
              <w:jc w:val="center"/>
            </w:pPr>
            <w:r w:rsidRPr="00B424A1">
              <w:t>342.883</w:t>
            </w:r>
            <w:r w:rsidRPr="00B424A1">
              <w:rPr>
                <w:vertAlign w:val="superscript"/>
              </w:rPr>
              <w:t>b</w:t>
            </w:r>
          </w:p>
        </w:tc>
        <w:tc>
          <w:tcPr>
            <w:tcW w:w="1439" w:type="dxa"/>
          </w:tcPr>
          <w:p w14:paraId="45F21397" w14:textId="77777777" w:rsidR="009A25E0" w:rsidRPr="00B424A1" w:rsidRDefault="009A25E0" w:rsidP="00F50514">
            <w:pPr>
              <w:spacing w:line="276" w:lineRule="auto"/>
              <w:jc w:val="center"/>
            </w:pPr>
            <w:r w:rsidRPr="00B424A1">
              <w:t>.904</w:t>
            </w:r>
          </w:p>
        </w:tc>
        <w:tc>
          <w:tcPr>
            <w:tcW w:w="1438" w:type="dxa"/>
          </w:tcPr>
          <w:p w14:paraId="72E66B5C" w14:textId="77777777" w:rsidR="009A25E0" w:rsidRPr="00B424A1" w:rsidRDefault="009A25E0" w:rsidP="00F50514">
            <w:pPr>
              <w:spacing w:line="276" w:lineRule="auto"/>
              <w:jc w:val="center"/>
            </w:pPr>
            <w:r w:rsidRPr="00B424A1">
              <w:t>.880</w:t>
            </w:r>
          </w:p>
        </w:tc>
        <w:tc>
          <w:tcPr>
            <w:tcW w:w="1439" w:type="dxa"/>
          </w:tcPr>
          <w:p w14:paraId="0CB18AA8" w14:textId="77777777" w:rsidR="009A25E0" w:rsidRPr="00B424A1" w:rsidRDefault="009A25E0" w:rsidP="00F50514">
            <w:pPr>
              <w:spacing w:line="276" w:lineRule="auto"/>
              <w:jc w:val="center"/>
            </w:pPr>
            <w:r w:rsidRPr="00B424A1">
              <w:t>.087</w:t>
            </w:r>
          </w:p>
        </w:tc>
      </w:tr>
    </w:tbl>
    <w:p w14:paraId="182D7E1B" w14:textId="77777777" w:rsidR="009A25E0" w:rsidRPr="00B424A1" w:rsidRDefault="009A25E0" w:rsidP="009A25E0">
      <w:pPr>
        <w:pStyle w:val="TableFigure"/>
        <w:spacing w:before="0" w:line="276" w:lineRule="auto"/>
      </w:pPr>
      <w:r w:rsidRPr="00B424A1">
        <w:rPr>
          <w:i/>
          <w:iCs/>
        </w:rPr>
        <w:t>Note</w:t>
      </w:r>
      <w:r w:rsidRPr="00B424A1">
        <w:t xml:space="preserve">. </w:t>
      </w:r>
      <w:r w:rsidRPr="00B424A1">
        <w:rPr>
          <w:i/>
          <w:iCs/>
        </w:rPr>
        <w:t>df</w:t>
      </w:r>
      <w:r w:rsidRPr="00B424A1">
        <w:t xml:space="preserve"> = degrees of freedom; CFI = comparative fit index; TFI = Tucker-Lewis Index; RMSEA = root mean square error of approximation. </w:t>
      </w:r>
      <w:bookmarkStart w:id="70" w:name="_Hlk155019433"/>
      <w:r w:rsidRPr="00B424A1">
        <w:t>Subscripts indicate statistically significant differences in model fit.</w:t>
      </w:r>
      <w:bookmarkEnd w:id="70"/>
    </w:p>
    <w:p w14:paraId="244B9F83" w14:textId="43D98C53" w:rsidR="009A25E0" w:rsidRPr="00B424A1" w:rsidRDefault="009A25E0" w:rsidP="009A25E0">
      <w:pPr>
        <w:pStyle w:val="TableFigure"/>
        <w:spacing w:before="0" w:line="276" w:lineRule="auto"/>
      </w:pPr>
      <w:r w:rsidRPr="00B424A1">
        <w:rPr>
          <w:vertAlign w:val="superscript"/>
        </w:rPr>
        <w:t>a</w:t>
      </w:r>
      <w:r w:rsidRPr="00B424A1">
        <w:t xml:space="preserve">The first- </w:t>
      </w:r>
      <w:r w:rsidR="007F5057">
        <w:t xml:space="preserve">and </w:t>
      </w:r>
      <w:r w:rsidRPr="00B424A1">
        <w:t xml:space="preserve">second-order factor models had significantly better fit than the unidimensional model </w:t>
      </w:r>
      <w:r>
        <w:t>based on</w:t>
      </w:r>
      <w:r w:rsidRPr="00B424A1">
        <w:t xml:space="preserve"> the </w:t>
      </w:r>
      <w:r w:rsidRPr="00B424A1">
        <w:rPr>
          <w:rFonts w:cstheme="minorHAnsi"/>
          <w:i/>
          <w:iCs/>
        </w:rPr>
        <w:t>χ</w:t>
      </w:r>
      <w:r w:rsidRPr="00B424A1">
        <w:rPr>
          <w:vertAlign w:val="superscript"/>
        </w:rPr>
        <w:t>2</w:t>
      </w:r>
      <w:r w:rsidRPr="00B424A1">
        <w:t xml:space="preserve"> statistic.</w:t>
      </w:r>
    </w:p>
    <w:p w14:paraId="22E23575" w14:textId="77777777" w:rsidR="00E022CF" w:rsidRPr="00B424A1" w:rsidRDefault="00E022CF" w:rsidP="00E022CF">
      <w:pPr>
        <w:pStyle w:val="TableFigure"/>
        <w:spacing w:before="0" w:line="276" w:lineRule="auto"/>
      </w:pPr>
      <w:r w:rsidRPr="00B424A1">
        <w:rPr>
          <w:vertAlign w:val="superscript"/>
        </w:rPr>
        <w:t>b</w:t>
      </w:r>
      <w:r w:rsidRPr="00B424A1">
        <w:t xml:space="preserve">The bifactor model had significantly better fit than the unidimensional model </w:t>
      </w:r>
      <w:r>
        <w:t>based on</w:t>
      </w:r>
      <w:r w:rsidRPr="00B424A1">
        <w:t xml:space="preserve"> the </w:t>
      </w:r>
      <w:r w:rsidRPr="00B424A1">
        <w:rPr>
          <w:rFonts w:cstheme="minorHAnsi"/>
          <w:i/>
          <w:iCs/>
        </w:rPr>
        <w:t>χ</w:t>
      </w:r>
      <w:r w:rsidRPr="00B424A1">
        <w:rPr>
          <w:vertAlign w:val="superscript"/>
        </w:rPr>
        <w:t>2</w:t>
      </w:r>
      <w:r w:rsidRPr="00B424A1">
        <w:t xml:space="preserve"> statistic.</w:t>
      </w:r>
    </w:p>
    <w:p w14:paraId="70D54F44" w14:textId="77777777" w:rsidR="009A25E0" w:rsidRDefault="009A25E0" w:rsidP="00E022CF">
      <w:pPr>
        <w:ind w:firstLine="0"/>
      </w:pPr>
    </w:p>
    <w:p w14:paraId="742D01DD" w14:textId="77777777" w:rsidR="009A25E0" w:rsidRPr="00B424A1" w:rsidRDefault="009A25E0" w:rsidP="00D05D95"/>
    <w:p w14:paraId="3E3F1B00" w14:textId="49352740" w:rsidR="001D71DE" w:rsidRPr="00996F86" w:rsidRDefault="001D71DE" w:rsidP="00996F86">
      <w:pPr>
        <w:pStyle w:val="Heading3"/>
        <w:rPr>
          <w:b w:val="0"/>
        </w:rPr>
      </w:pPr>
      <w:r w:rsidRPr="00996F86">
        <w:t xml:space="preserve">Factor </w:t>
      </w:r>
      <w:r w:rsidRPr="00B424A1">
        <w:t>Loading Patterns</w:t>
      </w:r>
      <w:r w:rsidR="00BA3198">
        <w:t xml:space="preserve"> and Inter-Factor Correlations</w:t>
      </w:r>
    </w:p>
    <w:p w14:paraId="552D2133" w14:textId="3467BC79" w:rsidR="001802A8" w:rsidRDefault="00A673F2" w:rsidP="001802A8">
      <w:pPr>
        <w:rPr>
          <w:rFonts w:ascii="Times New Roman" w:hAnsi="Times New Roman" w:cs="Times New Roman"/>
        </w:rPr>
      </w:pPr>
      <w:r>
        <w:rPr>
          <w:rFonts w:ascii="Times New Roman" w:hAnsi="Times New Roman" w:cs="Times New Roman"/>
        </w:rPr>
        <w:t>Instead of narrowly focusing on traditional model fit indices,</w:t>
      </w:r>
      <w:r w:rsidR="00685E36" w:rsidRPr="00B424A1">
        <w:rPr>
          <w:rFonts w:ascii="Times New Roman" w:hAnsi="Times New Roman" w:cs="Times New Roman"/>
        </w:rPr>
        <w:t xml:space="preserve"> </w:t>
      </w:r>
      <w:r>
        <w:rPr>
          <w:rFonts w:ascii="Times New Roman" w:hAnsi="Times New Roman" w:cs="Times New Roman"/>
        </w:rPr>
        <w:t>we next scrutinized the factor loading patterns</w:t>
      </w:r>
      <w:r w:rsidR="000C0E8D">
        <w:rPr>
          <w:rFonts w:ascii="Times New Roman" w:hAnsi="Times New Roman" w:cs="Times New Roman"/>
        </w:rPr>
        <w:t xml:space="preserve"> for the DASS21</w:t>
      </w:r>
      <w:r>
        <w:rPr>
          <w:rFonts w:ascii="Times New Roman" w:hAnsi="Times New Roman" w:cs="Times New Roman"/>
        </w:rPr>
        <w:t xml:space="preserve">, </w:t>
      </w:r>
      <w:r w:rsidR="000C0E8D">
        <w:rPr>
          <w:rFonts w:ascii="Times New Roman" w:hAnsi="Times New Roman" w:cs="Times New Roman"/>
        </w:rPr>
        <w:t>with an emphasis on the</w:t>
      </w:r>
      <w:r>
        <w:rPr>
          <w:rFonts w:ascii="Times New Roman" w:hAnsi="Times New Roman" w:cs="Times New Roman"/>
        </w:rPr>
        <w:t xml:space="preserve"> </w:t>
      </w:r>
      <w:r w:rsidR="00183E6F" w:rsidRPr="00B424A1">
        <w:rPr>
          <w:rFonts w:ascii="Times New Roman" w:hAnsi="Times New Roman" w:cs="Times New Roman"/>
        </w:rPr>
        <w:t xml:space="preserve">unidimensional and bifactor </w:t>
      </w:r>
      <w:r w:rsidR="00ED4A1D" w:rsidRPr="00B424A1">
        <w:rPr>
          <w:rFonts w:ascii="Times New Roman" w:hAnsi="Times New Roman" w:cs="Times New Roman"/>
        </w:rPr>
        <w:t xml:space="preserve">models </w:t>
      </w:r>
      <w:r w:rsidR="00C339F7" w:rsidRPr="00B424A1">
        <w:rPr>
          <w:rFonts w:ascii="Times New Roman" w:hAnsi="Times New Roman" w:cs="Times New Roman"/>
        </w:rPr>
        <w:t>(Figure 2)</w:t>
      </w:r>
      <w:r w:rsidR="00ED4A1D" w:rsidRPr="00B424A1">
        <w:rPr>
          <w:rFonts w:ascii="Times New Roman" w:hAnsi="Times New Roman" w:cs="Times New Roman"/>
        </w:rPr>
        <w:t xml:space="preserve">. </w:t>
      </w:r>
      <w:r w:rsidR="001802A8">
        <w:rPr>
          <w:rFonts w:ascii="Times New Roman" w:hAnsi="Times New Roman" w:cs="Times New Roman"/>
        </w:rPr>
        <w:t xml:space="preserve">The factor loading CIs were mostly reasonable. However, estimates of </w:t>
      </w:r>
      <w:r w:rsidR="001802A8">
        <w:rPr>
          <w:rFonts w:ascii="Times New Roman" w:hAnsi="Times New Roman" w:cs="Times New Roman"/>
        </w:rPr>
        <w:lastRenderedPageBreak/>
        <w:t xml:space="preserve">specific factor loadings in the bifactor model were notably less precise, and some CIs for the bifactor model were exceptionally wide (Supplemental Table S1). This aligns with the observation in bifactor models of psychopathology that specific factors often do not capture reliable portions of variance independent of the general factor (Eid et al., 2017). Moreover, particularly wide CIs were observed for less strongly endorsed and positively skewed items (e.g., Item 4, breathing difficulty: M = 0.46, </w:t>
      </w:r>
      <w:r w:rsidR="001802A8">
        <w:rPr>
          <w:rFonts w:ascii="Times New Roman" w:hAnsi="Times New Roman" w:cs="Times New Roman"/>
          <w:i/>
          <w:iCs/>
        </w:rPr>
        <w:t>Z</w:t>
      </w:r>
      <w:r w:rsidR="001802A8">
        <w:rPr>
          <w:rFonts w:ascii="Times New Roman" w:hAnsi="Times New Roman" w:cs="Times New Roman"/>
          <w:vertAlign w:val="subscript"/>
        </w:rPr>
        <w:t>skew</w:t>
      </w:r>
      <w:r w:rsidR="001802A8">
        <w:rPr>
          <w:rFonts w:ascii="Times New Roman" w:hAnsi="Times New Roman" w:cs="Times New Roman"/>
        </w:rPr>
        <w:t xml:space="preserve"> = 1.54), underscoring a methodological limitation related to the distribution of certain DASS items.</w:t>
      </w:r>
    </w:p>
    <w:p w14:paraId="7E9E5D3E" w14:textId="4AC8C941" w:rsidR="00387BC1" w:rsidRDefault="00183E6F" w:rsidP="00387BC1">
      <w:pPr>
        <w:rPr>
          <w:rFonts w:ascii="Times New Roman" w:hAnsi="Times New Roman" w:cs="Times New Roman"/>
        </w:rPr>
      </w:pPr>
      <w:r w:rsidRPr="00B424A1">
        <w:rPr>
          <w:rFonts w:ascii="Times New Roman" w:hAnsi="Times New Roman" w:cs="Times New Roman"/>
        </w:rPr>
        <w:t xml:space="preserve">For both </w:t>
      </w:r>
      <w:r w:rsidR="000C0E8D">
        <w:rPr>
          <w:rFonts w:ascii="Times New Roman" w:hAnsi="Times New Roman" w:cs="Times New Roman"/>
        </w:rPr>
        <w:t>t</w:t>
      </w:r>
      <w:r w:rsidR="00A673F2">
        <w:rPr>
          <w:rFonts w:ascii="Times New Roman" w:hAnsi="Times New Roman" w:cs="Times New Roman"/>
        </w:rPr>
        <w:t>he</w:t>
      </w:r>
      <w:r w:rsidR="001802A8">
        <w:rPr>
          <w:rFonts w:ascii="Times New Roman" w:hAnsi="Times New Roman" w:cs="Times New Roman"/>
        </w:rPr>
        <w:t xml:space="preserve"> bifactor and unidimensional</w:t>
      </w:r>
      <w:r w:rsidR="00A673F2">
        <w:rPr>
          <w:rFonts w:ascii="Times New Roman" w:hAnsi="Times New Roman" w:cs="Times New Roman"/>
        </w:rPr>
        <w:t xml:space="preserve"> models</w:t>
      </w:r>
      <w:r w:rsidRPr="00B424A1">
        <w:rPr>
          <w:rFonts w:ascii="Times New Roman" w:hAnsi="Times New Roman" w:cs="Times New Roman"/>
        </w:rPr>
        <w:t>, l</w:t>
      </w:r>
      <w:r w:rsidR="00183734" w:rsidRPr="00B424A1">
        <w:rPr>
          <w:rFonts w:ascii="Times New Roman" w:hAnsi="Times New Roman" w:cs="Times New Roman"/>
        </w:rPr>
        <w:t>oading</w:t>
      </w:r>
      <w:r w:rsidR="00A8434E" w:rsidRPr="00B424A1">
        <w:rPr>
          <w:rFonts w:ascii="Times New Roman" w:hAnsi="Times New Roman" w:cs="Times New Roman"/>
        </w:rPr>
        <w:t xml:space="preserve">s </w:t>
      </w:r>
      <w:r w:rsidR="00F6054E" w:rsidRPr="00B424A1">
        <w:rPr>
          <w:rFonts w:ascii="Times New Roman" w:hAnsi="Times New Roman" w:cs="Times New Roman"/>
        </w:rPr>
        <w:t xml:space="preserve">on </w:t>
      </w:r>
      <w:r w:rsidR="00E3706B" w:rsidRPr="00B424A1">
        <w:rPr>
          <w:rFonts w:ascii="Times New Roman" w:hAnsi="Times New Roman" w:cs="Times New Roman"/>
        </w:rPr>
        <w:t>the general distress factor</w:t>
      </w:r>
      <w:r w:rsidR="00F6054E" w:rsidRPr="00B424A1">
        <w:rPr>
          <w:rFonts w:ascii="Times New Roman" w:hAnsi="Times New Roman" w:cs="Times New Roman"/>
        </w:rPr>
        <w:t xml:space="preserve"> </w:t>
      </w:r>
      <w:r w:rsidRPr="00B424A1">
        <w:rPr>
          <w:rFonts w:ascii="Times New Roman" w:hAnsi="Times New Roman" w:cs="Times New Roman"/>
        </w:rPr>
        <w:t>were ‘very good’</w:t>
      </w:r>
      <w:r w:rsidR="00F6054E" w:rsidRPr="00B424A1">
        <w:rPr>
          <w:rFonts w:ascii="Times New Roman" w:hAnsi="Times New Roman" w:cs="Times New Roman"/>
        </w:rPr>
        <w:t xml:space="preserve"> </w:t>
      </w:r>
      <w:r w:rsidR="001C7FB4">
        <w:rPr>
          <w:rFonts w:ascii="Times New Roman" w:hAnsi="Times New Roman" w:cs="Times New Roman"/>
        </w:rPr>
        <w:t xml:space="preserve">on average </w:t>
      </w:r>
      <w:r w:rsidR="00AA1DAF" w:rsidRPr="00B424A1">
        <w:rPr>
          <w:rFonts w:ascii="Times New Roman" w:hAnsi="Times New Roman" w:cs="Times New Roman"/>
        </w:rPr>
        <w:t>(</w:t>
      </w:r>
      <w:r w:rsidRPr="00B424A1">
        <w:rPr>
          <w:rFonts w:ascii="Times New Roman" w:hAnsi="Times New Roman" w:cs="Times New Roman"/>
        </w:rPr>
        <w:t>unidimensional model: m</w:t>
      </w:r>
      <w:r w:rsidR="00AA1DAF" w:rsidRPr="00B424A1">
        <w:rPr>
          <w:rFonts w:ascii="Times New Roman" w:hAnsi="Times New Roman" w:cs="Times New Roman"/>
        </w:rPr>
        <w:t xml:space="preserve">ean </w:t>
      </w:r>
      <w:bookmarkStart w:id="71" w:name="_Hlk121478570"/>
      <w:r w:rsidR="00AA1DAF" w:rsidRPr="00B424A1">
        <w:rPr>
          <w:rFonts w:eastAsia="HGSMinchoE"/>
        </w:rPr>
        <w:t>λ</w:t>
      </w:r>
      <w:bookmarkEnd w:id="71"/>
      <w:r w:rsidR="00AA1DAF" w:rsidRPr="00B424A1">
        <w:rPr>
          <w:rFonts w:ascii="Times New Roman" w:hAnsi="Times New Roman" w:cs="Times New Roman"/>
          <w:vertAlign w:val="subscript"/>
        </w:rPr>
        <w:t xml:space="preserve"> </w:t>
      </w:r>
      <w:r w:rsidR="00AA1DAF" w:rsidRPr="00B424A1">
        <w:rPr>
          <w:rFonts w:ascii="Times New Roman" w:hAnsi="Times New Roman" w:cs="Times New Roman"/>
        </w:rPr>
        <w:t>= .6</w:t>
      </w:r>
      <w:r w:rsidR="004C7859" w:rsidRPr="00B424A1">
        <w:rPr>
          <w:rFonts w:ascii="Times New Roman" w:hAnsi="Times New Roman" w:cs="Times New Roman"/>
        </w:rPr>
        <w:t>8</w:t>
      </w:r>
      <w:r w:rsidR="00AA1DAF" w:rsidRPr="00B424A1">
        <w:rPr>
          <w:rFonts w:ascii="Times New Roman" w:hAnsi="Times New Roman" w:cs="Times New Roman"/>
        </w:rPr>
        <w:t xml:space="preserve">, range = </w:t>
      </w:r>
      <w:r w:rsidR="00AA1DAF" w:rsidRPr="00996F86">
        <w:rPr>
          <w:rFonts w:ascii="Times New Roman" w:hAnsi="Times New Roman"/>
        </w:rPr>
        <w:t>.</w:t>
      </w:r>
      <w:r w:rsidR="004C7859" w:rsidRPr="00B424A1">
        <w:rPr>
          <w:rFonts w:ascii="Times New Roman" w:hAnsi="Times New Roman" w:cs="Times New Roman"/>
        </w:rPr>
        <w:t>43</w:t>
      </w:r>
      <w:r w:rsidR="00AA1DAF" w:rsidRPr="00B424A1">
        <w:rPr>
          <w:rFonts w:ascii="Times New Roman" w:hAnsi="Times New Roman" w:cs="Times New Roman"/>
        </w:rPr>
        <w:t>–.8</w:t>
      </w:r>
      <w:r w:rsidR="004C7859" w:rsidRPr="00B424A1">
        <w:rPr>
          <w:rFonts w:ascii="Times New Roman" w:hAnsi="Times New Roman" w:cs="Times New Roman"/>
        </w:rPr>
        <w:t>4</w:t>
      </w:r>
      <w:r w:rsidRPr="00996F86">
        <w:rPr>
          <w:rFonts w:ascii="Times New Roman" w:hAnsi="Times New Roman"/>
        </w:rPr>
        <w:t>; bifactor model: m</w:t>
      </w:r>
      <w:r w:rsidR="000443C8" w:rsidRPr="00996F86">
        <w:rPr>
          <w:rFonts w:ascii="Times New Roman" w:hAnsi="Times New Roman"/>
        </w:rPr>
        <w:t xml:space="preserve">ean </w:t>
      </w:r>
      <w:r w:rsidR="000443C8" w:rsidRPr="00996F86">
        <w:t>λ</w:t>
      </w:r>
      <w:r w:rsidR="000D0A01" w:rsidRPr="00996F86">
        <w:rPr>
          <w:rFonts w:ascii="Times New Roman" w:hAnsi="Times New Roman"/>
          <w:vertAlign w:val="subscript"/>
        </w:rPr>
        <w:t xml:space="preserve"> </w:t>
      </w:r>
      <w:r w:rsidR="000D0A01" w:rsidRPr="00996F86">
        <w:rPr>
          <w:rFonts w:ascii="Times New Roman" w:hAnsi="Times New Roman"/>
        </w:rPr>
        <w:t>=</w:t>
      </w:r>
      <w:r w:rsidR="000443C8" w:rsidRPr="00996F86">
        <w:rPr>
          <w:rFonts w:ascii="Times New Roman" w:hAnsi="Times New Roman"/>
        </w:rPr>
        <w:t xml:space="preserve"> .</w:t>
      </w:r>
      <w:r w:rsidR="00860D83" w:rsidRPr="00B424A1">
        <w:rPr>
          <w:rFonts w:ascii="Times New Roman" w:hAnsi="Times New Roman" w:cs="Times New Roman"/>
        </w:rPr>
        <w:t>6</w:t>
      </w:r>
      <w:r w:rsidR="00B11EC0" w:rsidRPr="00B424A1">
        <w:rPr>
          <w:rFonts w:ascii="Times New Roman" w:hAnsi="Times New Roman" w:cs="Times New Roman"/>
        </w:rPr>
        <w:t>5</w:t>
      </w:r>
      <w:r w:rsidR="000443C8" w:rsidRPr="00996F86">
        <w:rPr>
          <w:rFonts w:ascii="Times New Roman" w:hAnsi="Times New Roman"/>
        </w:rPr>
        <w:t>, range = .</w:t>
      </w:r>
      <w:r w:rsidR="00B11EC0" w:rsidRPr="00B424A1">
        <w:rPr>
          <w:rFonts w:ascii="Times New Roman" w:hAnsi="Times New Roman" w:cs="Times New Roman"/>
        </w:rPr>
        <w:t>44</w:t>
      </w:r>
      <w:r w:rsidR="000443C8" w:rsidRPr="00B424A1">
        <w:rPr>
          <w:rFonts w:ascii="Times New Roman" w:hAnsi="Times New Roman" w:cs="Times New Roman"/>
        </w:rPr>
        <w:t>–.</w:t>
      </w:r>
      <w:r w:rsidR="000D0A01" w:rsidRPr="00B424A1">
        <w:rPr>
          <w:rFonts w:ascii="Times New Roman" w:hAnsi="Times New Roman" w:cs="Times New Roman"/>
        </w:rPr>
        <w:t>8</w:t>
      </w:r>
      <w:r w:rsidR="00B11EC0" w:rsidRPr="00B424A1">
        <w:rPr>
          <w:rFonts w:ascii="Times New Roman" w:hAnsi="Times New Roman" w:cs="Times New Roman"/>
        </w:rPr>
        <w:t>3</w:t>
      </w:r>
      <w:r w:rsidR="000D0A01" w:rsidRPr="00996F86">
        <w:rPr>
          <w:rFonts w:ascii="Times New Roman" w:hAnsi="Times New Roman"/>
        </w:rPr>
        <w:t>)</w:t>
      </w:r>
      <w:r w:rsidR="0027330F" w:rsidRPr="00996F86">
        <w:rPr>
          <w:rFonts w:ascii="Times New Roman" w:hAnsi="Times New Roman"/>
        </w:rPr>
        <w:t>.</w:t>
      </w:r>
      <w:r w:rsidR="000D0A01" w:rsidRPr="00996F86">
        <w:rPr>
          <w:rFonts w:ascii="Times New Roman" w:hAnsi="Times New Roman"/>
        </w:rPr>
        <w:t xml:space="preserve"> </w:t>
      </w:r>
      <w:r w:rsidRPr="00996F86">
        <w:rPr>
          <w:rFonts w:ascii="Times New Roman" w:hAnsi="Times New Roman"/>
        </w:rPr>
        <w:t>L</w:t>
      </w:r>
      <w:r w:rsidR="007929FD" w:rsidRPr="00996F86">
        <w:rPr>
          <w:rFonts w:ascii="Times New Roman" w:hAnsi="Times New Roman"/>
        </w:rPr>
        <w:t>oadings on the specific factors in the b</w:t>
      </w:r>
      <w:r w:rsidR="002B7F00" w:rsidRPr="00996F86">
        <w:rPr>
          <w:rFonts w:ascii="Times New Roman" w:hAnsi="Times New Roman"/>
        </w:rPr>
        <w:t>ifactor model</w:t>
      </w:r>
      <w:r w:rsidRPr="00996F86">
        <w:rPr>
          <w:rFonts w:ascii="Times New Roman" w:hAnsi="Times New Roman"/>
        </w:rPr>
        <w:t xml:space="preserve"> were weaker</w:t>
      </w:r>
      <w:r w:rsidR="0050042C" w:rsidRPr="00996F86">
        <w:rPr>
          <w:rFonts w:ascii="Times New Roman" w:hAnsi="Times New Roman"/>
        </w:rPr>
        <w:t xml:space="preserve">, </w:t>
      </w:r>
      <w:r w:rsidR="003B0967" w:rsidRPr="00996F86">
        <w:rPr>
          <w:rFonts w:ascii="Times New Roman" w:hAnsi="Times New Roman"/>
        </w:rPr>
        <w:t>on average ‘</w:t>
      </w:r>
      <w:r w:rsidR="00FE24CA" w:rsidRPr="00996F86">
        <w:rPr>
          <w:rFonts w:ascii="Times New Roman" w:hAnsi="Times New Roman"/>
        </w:rPr>
        <w:t>poor</w:t>
      </w:r>
      <w:r w:rsidR="003B0967" w:rsidRPr="00996F86">
        <w:rPr>
          <w:rFonts w:ascii="Times New Roman" w:hAnsi="Times New Roman"/>
        </w:rPr>
        <w:t xml:space="preserve">’ </w:t>
      </w:r>
      <w:r w:rsidR="004732CB" w:rsidRPr="00996F86">
        <w:rPr>
          <w:rFonts w:ascii="Times New Roman" w:hAnsi="Times New Roman"/>
        </w:rPr>
        <w:t>for depression (</w:t>
      </w:r>
      <w:r w:rsidR="00C646E7" w:rsidRPr="00996F86">
        <w:rPr>
          <w:rFonts w:ascii="Times New Roman" w:hAnsi="Times New Roman"/>
        </w:rPr>
        <w:t>m</w:t>
      </w:r>
      <w:r w:rsidR="00AD1202" w:rsidRPr="00996F86">
        <w:rPr>
          <w:rFonts w:ascii="Times New Roman" w:hAnsi="Times New Roman"/>
        </w:rPr>
        <w:t xml:space="preserve">ean </w:t>
      </w:r>
      <w:r w:rsidR="00B94CB4" w:rsidRPr="00996F86">
        <w:t>λ</w:t>
      </w:r>
      <w:r w:rsidR="00C646E7" w:rsidRPr="00996F86">
        <w:rPr>
          <w:rFonts w:ascii="Times New Roman" w:hAnsi="Times New Roman"/>
        </w:rPr>
        <w:t xml:space="preserve"> </w:t>
      </w:r>
      <w:r w:rsidR="004732CB" w:rsidRPr="00996F86">
        <w:rPr>
          <w:rFonts w:ascii="Times New Roman" w:hAnsi="Times New Roman"/>
        </w:rPr>
        <w:t>= .</w:t>
      </w:r>
      <w:r w:rsidR="00E302C3" w:rsidRPr="00B424A1">
        <w:rPr>
          <w:rFonts w:ascii="Times New Roman" w:hAnsi="Times New Roman" w:cs="Times New Roman"/>
        </w:rPr>
        <w:t>4</w:t>
      </w:r>
      <w:r w:rsidR="00B11EC0" w:rsidRPr="00B424A1">
        <w:rPr>
          <w:rFonts w:ascii="Times New Roman" w:hAnsi="Times New Roman" w:cs="Times New Roman"/>
        </w:rPr>
        <w:t>3</w:t>
      </w:r>
      <w:r w:rsidR="00DA0D53" w:rsidRPr="00996F86">
        <w:rPr>
          <w:rFonts w:ascii="Times New Roman" w:hAnsi="Times New Roman"/>
        </w:rPr>
        <w:t>;</w:t>
      </w:r>
      <w:r w:rsidR="004732CB" w:rsidRPr="00996F86">
        <w:rPr>
          <w:rFonts w:ascii="Times New Roman" w:hAnsi="Times New Roman"/>
        </w:rPr>
        <w:t xml:space="preserve"> range = </w:t>
      </w:r>
      <w:r w:rsidR="00B11EC0" w:rsidRPr="00B424A1">
        <w:rPr>
          <w:rFonts w:ascii="Times New Roman" w:hAnsi="Times New Roman" w:cs="Times New Roman"/>
        </w:rPr>
        <w:t xml:space="preserve"> </w:t>
      </w:r>
      <w:r w:rsidR="004732CB" w:rsidRPr="00B424A1">
        <w:rPr>
          <w:rFonts w:ascii="Times New Roman" w:hAnsi="Times New Roman" w:cs="Times New Roman"/>
        </w:rPr>
        <w:t>.</w:t>
      </w:r>
      <w:r w:rsidR="00B11EC0" w:rsidRPr="00B424A1">
        <w:rPr>
          <w:rFonts w:ascii="Times New Roman" w:hAnsi="Times New Roman" w:cs="Times New Roman"/>
        </w:rPr>
        <w:t>29</w:t>
      </w:r>
      <w:r w:rsidR="004732CB" w:rsidRPr="00B424A1">
        <w:rPr>
          <w:rFonts w:ascii="Times New Roman" w:hAnsi="Times New Roman" w:cs="Times New Roman"/>
        </w:rPr>
        <w:t>–.</w:t>
      </w:r>
      <w:r w:rsidR="00E76C57" w:rsidRPr="00B424A1">
        <w:rPr>
          <w:rFonts w:ascii="Times New Roman" w:hAnsi="Times New Roman" w:cs="Times New Roman"/>
        </w:rPr>
        <w:t>5</w:t>
      </w:r>
      <w:r w:rsidR="00B11EC0" w:rsidRPr="00B424A1">
        <w:rPr>
          <w:rFonts w:ascii="Times New Roman" w:hAnsi="Times New Roman" w:cs="Times New Roman"/>
        </w:rPr>
        <w:t>9</w:t>
      </w:r>
      <w:r w:rsidR="004732CB" w:rsidRPr="00996F86">
        <w:rPr>
          <w:rFonts w:ascii="Times New Roman" w:hAnsi="Times New Roman"/>
        </w:rPr>
        <w:t>)</w:t>
      </w:r>
      <w:r w:rsidR="003B0967" w:rsidRPr="00996F86">
        <w:rPr>
          <w:rFonts w:ascii="Times New Roman" w:hAnsi="Times New Roman"/>
        </w:rPr>
        <w:t xml:space="preserve"> and</w:t>
      </w:r>
      <w:r w:rsidR="004732CB" w:rsidRPr="00996F86">
        <w:rPr>
          <w:rFonts w:ascii="Times New Roman" w:hAnsi="Times New Roman"/>
        </w:rPr>
        <w:t xml:space="preserve"> </w:t>
      </w:r>
      <w:r w:rsidR="00A54109" w:rsidRPr="00996F86">
        <w:rPr>
          <w:rFonts w:ascii="Times New Roman" w:hAnsi="Times New Roman"/>
        </w:rPr>
        <w:t>‘very low’</w:t>
      </w:r>
      <w:r w:rsidR="002938FA" w:rsidRPr="00996F86">
        <w:rPr>
          <w:rFonts w:ascii="Times New Roman" w:hAnsi="Times New Roman"/>
        </w:rPr>
        <w:t xml:space="preserve"> </w:t>
      </w:r>
      <w:r w:rsidR="00272DA5" w:rsidRPr="00996F86">
        <w:rPr>
          <w:rFonts w:ascii="Times New Roman" w:hAnsi="Times New Roman"/>
        </w:rPr>
        <w:t xml:space="preserve">and inadequate </w:t>
      </w:r>
      <w:r w:rsidR="002938FA" w:rsidRPr="00996F86">
        <w:rPr>
          <w:rFonts w:ascii="Times New Roman" w:hAnsi="Times New Roman"/>
        </w:rPr>
        <w:t>for</w:t>
      </w:r>
      <w:r w:rsidR="00A54109" w:rsidRPr="00996F86">
        <w:rPr>
          <w:rFonts w:ascii="Times New Roman" w:hAnsi="Times New Roman"/>
        </w:rPr>
        <w:t xml:space="preserve"> </w:t>
      </w:r>
      <w:r w:rsidR="004732CB" w:rsidRPr="00996F86">
        <w:rPr>
          <w:rFonts w:ascii="Times New Roman" w:hAnsi="Times New Roman"/>
        </w:rPr>
        <w:t>anxiety</w:t>
      </w:r>
      <w:r w:rsidR="002B7F00" w:rsidRPr="00996F86">
        <w:rPr>
          <w:rFonts w:ascii="Times New Roman" w:hAnsi="Times New Roman"/>
        </w:rPr>
        <w:t xml:space="preserve"> (</w:t>
      </w:r>
      <w:r w:rsidR="00C646E7" w:rsidRPr="00996F86">
        <w:rPr>
          <w:rFonts w:ascii="Times New Roman" w:hAnsi="Times New Roman"/>
        </w:rPr>
        <w:t>m</w:t>
      </w:r>
      <w:r w:rsidR="00AD1202" w:rsidRPr="00996F86">
        <w:rPr>
          <w:rFonts w:ascii="Times New Roman" w:hAnsi="Times New Roman"/>
        </w:rPr>
        <w:t xml:space="preserve">ean </w:t>
      </w:r>
      <w:r w:rsidR="00AD1202" w:rsidRPr="00996F86">
        <w:t>λ</w:t>
      </w:r>
      <w:r w:rsidR="00CB05DE" w:rsidRPr="00996F86">
        <w:rPr>
          <w:rFonts w:ascii="Times New Roman" w:hAnsi="Times New Roman"/>
        </w:rPr>
        <w:t xml:space="preserve"> </w:t>
      </w:r>
      <w:r w:rsidR="002B7F00" w:rsidRPr="00996F86">
        <w:rPr>
          <w:rFonts w:ascii="Times New Roman" w:hAnsi="Times New Roman"/>
        </w:rPr>
        <w:t>= .</w:t>
      </w:r>
      <w:r w:rsidR="00B11EC0" w:rsidRPr="00B424A1">
        <w:rPr>
          <w:rFonts w:ascii="Times New Roman" w:hAnsi="Times New Roman" w:cs="Times New Roman"/>
        </w:rPr>
        <w:t>23</w:t>
      </w:r>
      <w:r w:rsidR="00DA0D53" w:rsidRPr="00996F86">
        <w:rPr>
          <w:rFonts w:ascii="Times New Roman" w:hAnsi="Times New Roman"/>
        </w:rPr>
        <w:t>;</w:t>
      </w:r>
      <w:r w:rsidR="002B7F00" w:rsidRPr="00996F86">
        <w:rPr>
          <w:rFonts w:ascii="Times New Roman" w:hAnsi="Times New Roman"/>
        </w:rPr>
        <w:t xml:space="preserve"> range = </w:t>
      </w:r>
      <w:r w:rsidR="004A40A6">
        <w:rPr>
          <w:rFonts w:ascii="Times New Roman" w:hAnsi="Times New Roman"/>
        </w:rPr>
        <w:t>–</w:t>
      </w:r>
      <w:r w:rsidR="002B7F00" w:rsidRPr="00996F86">
        <w:rPr>
          <w:rFonts w:ascii="Times New Roman" w:hAnsi="Times New Roman"/>
        </w:rPr>
        <w:t>.</w:t>
      </w:r>
      <w:r w:rsidR="00166E0D" w:rsidRPr="00996F86">
        <w:rPr>
          <w:rFonts w:ascii="Times New Roman" w:hAnsi="Times New Roman"/>
        </w:rPr>
        <w:t>05</w:t>
      </w:r>
      <w:r w:rsidR="002B7F00" w:rsidRPr="00996F86">
        <w:rPr>
          <w:rFonts w:ascii="Times New Roman" w:hAnsi="Times New Roman"/>
        </w:rPr>
        <w:t>–.</w:t>
      </w:r>
      <w:r w:rsidR="00B11EC0" w:rsidRPr="00B424A1">
        <w:rPr>
          <w:rFonts w:ascii="Times New Roman" w:hAnsi="Times New Roman" w:cs="Times New Roman"/>
        </w:rPr>
        <w:t>78</w:t>
      </w:r>
      <w:r w:rsidR="002B7F00" w:rsidRPr="00996F86">
        <w:rPr>
          <w:rFonts w:ascii="Times New Roman" w:hAnsi="Times New Roman"/>
        </w:rPr>
        <w:t>)</w:t>
      </w:r>
      <w:r w:rsidR="003B0967" w:rsidRPr="00996F86">
        <w:rPr>
          <w:rFonts w:ascii="Times New Roman" w:hAnsi="Times New Roman"/>
        </w:rPr>
        <w:t xml:space="preserve"> and </w:t>
      </w:r>
      <w:r w:rsidR="004732CB" w:rsidRPr="00996F86">
        <w:rPr>
          <w:rFonts w:ascii="Times New Roman" w:hAnsi="Times New Roman"/>
        </w:rPr>
        <w:t xml:space="preserve">stress </w:t>
      </w:r>
      <w:r w:rsidR="002B7F00" w:rsidRPr="00996F86">
        <w:rPr>
          <w:rFonts w:ascii="Times New Roman" w:hAnsi="Times New Roman"/>
        </w:rPr>
        <w:t>(</w:t>
      </w:r>
      <w:r w:rsidR="00C646E7" w:rsidRPr="00996F86">
        <w:rPr>
          <w:rFonts w:ascii="Times New Roman" w:hAnsi="Times New Roman"/>
        </w:rPr>
        <w:t>m</w:t>
      </w:r>
      <w:r w:rsidR="00AD1202" w:rsidRPr="00996F86">
        <w:rPr>
          <w:rFonts w:ascii="Times New Roman" w:hAnsi="Times New Roman"/>
        </w:rPr>
        <w:t>ean</w:t>
      </w:r>
      <w:r w:rsidR="00045CDB" w:rsidRPr="00996F86">
        <w:rPr>
          <w:rFonts w:ascii="Times New Roman" w:hAnsi="Times New Roman"/>
        </w:rPr>
        <w:t xml:space="preserve"> </w:t>
      </w:r>
      <w:r w:rsidR="00AD1202" w:rsidRPr="00996F86">
        <w:t>λ</w:t>
      </w:r>
      <w:r w:rsidR="00CB05DE" w:rsidRPr="00996F86">
        <w:rPr>
          <w:rFonts w:ascii="Times New Roman" w:hAnsi="Times New Roman"/>
        </w:rPr>
        <w:t xml:space="preserve"> </w:t>
      </w:r>
      <w:r w:rsidR="002B7F00" w:rsidRPr="00996F86">
        <w:rPr>
          <w:rFonts w:ascii="Times New Roman" w:hAnsi="Times New Roman"/>
        </w:rPr>
        <w:t>= .</w:t>
      </w:r>
      <w:r w:rsidR="00A54109" w:rsidRPr="00996F86">
        <w:rPr>
          <w:rFonts w:ascii="Times New Roman" w:hAnsi="Times New Roman"/>
        </w:rPr>
        <w:t>28</w:t>
      </w:r>
      <w:r w:rsidR="00DA0D53" w:rsidRPr="00996F86">
        <w:rPr>
          <w:rFonts w:ascii="Times New Roman" w:hAnsi="Times New Roman"/>
        </w:rPr>
        <w:t>;</w:t>
      </w:r>
      <w:r w:rsidR="002B7F00" w:rsidRPr="00996F86">
        <w:rPr>
          <w:rFonts w:ascii="Times New Roman" w:hAnsi="Times New Roman"/>
        </w:rPr>
        <w:t xml:space="preserve"> range = </w:t>
      </w:r>
      <w:r w:rsidR="00CD11CF" w:rsidRPr="00996F86">
        <w:rPr>
          <w:rFonts w:ascii="Symbol" w:hAnsi="Symbol" w:hint="eastAsia"/>
        </w:rPr>
        <w:t>.03</w:t>
      </w:r>
      <w:r w:rsidR="002B7F00" w:rsidRPr="00996F86">
        <w:rPr>
          <w:rFonts w:ascii="Times New Roman" w:hAnsi="Times New Roman"/>
        </w:rPr>
        <w:t>–.</w:t>
      </w:r>
      <w:r w:rsidR="00B11EC0" w:rsidRPr="00B424A1">
        <w:rPr>
          <w:rFonts w:ascii="Times New Roman" w:hAnsi="Times New Roman" w:cs="Times New Roman"/>
        </w:rPr>
        <w:t>61</w:t>
      </w:r>
      <w:r w:rsidR="002B7F00" w:rsidRPr="00996F86">
        <w:rPr>
          <w:rFonts w:ascii="Times New Roman" w:hAnsi="Times New Roman"/>
        </w:rPr>
        <w:t xml:space="preserve">). </w:t>
      </w:r>
      <w:r w:rsidR="00272DA5" w:rsidRPr="00996F86">
        <w:rPr>
          <w:rFonts w:ascii="Times New Roman" w:hAnsi="Times New Roman"/>
        </w:rPr>
        <w:t>There were also non-significant and negative specific factor loadings</w:t>
      </w:r>
      <w:r w:rsidR="001802A8">
        <w:rPr>
          <w:rFonts w:ascii="Times New Roman" w:hAnsi="Times New Roman"/>
        </w:rPr>
        <w:t xml:space="preserve"> </w:t>
      </w:r>
      <w:r w:rsidR="00272DA5" w:rsidRPr="00996F86">
        <w:rPr>
          <w:rFonts w:ascii="Times New Roman" w:hAnsi="Times New Roman"/>
        </w:rPr>
        <w:t xml:space="preserve">for anxiety and stress, suggesting </w:t>
      </w:r>
      <w:r w:rsidR="001802A8">
        <w:rPr>
          <w:rFonts w:ascii="Times New Roman" w:hAnsi="Times New Roman"/>
        </w:rPr>
        <w:t xml:space="preserve">that </w:t>
      </w:r>
      <w:r w:rsidR="00272DA5" w:rsidRPr="00996F86">
        <w:rPr>
          <w:rFonts w:ascii="Times New Roman" w:hAnsi="Times New Roman"/>
        </w:rPr>
        <w:t xml:space="preserve">these items were in particular only indicators of general distress. </w:t>
      </w:r>
      <w:r w:rsidR="007A6A9D" w:rsidRPr="00B424A1">
        <w:rPr>
          <w:rFonts w:ascii="Times New Roman" w:eastAsia="Times New Roman" w:hAnsi="Times New Roman" w:cs="Times New Roman"/>
          <w:lang w:eastAsia="en-GB"/>
        </w:rPr>
        <w:t xml:space="preserve">As depicted in Figure </w:t>
      </w:r>
      <w:r w:rsidR="00821C5E" w:rsidRPr="00B424A1">
        <w:rPr>
          <w:rFonts w:ascii="Times New Roman" w:eastAsia="Times New Roman" w:hAnsi="Times New Roman" w:cs="Times New Roman"/>
          <w:lang w:eastAsia="en-GB"/>
        </w:rPr>
        <w:t>2</w:t>
      </w:r>
      <w:r w:rsidR="002B7F00" w:rsidRPr="00B424A1">
        <w:rPr>
          <w:rFonts w:ascii="Times New Roman" w:eastAsia="Times New Roman" w:hAnsi="Times New Roman" w:cs="Times New Roman"/>
          <w:lang w:eastAsia="en-GB"/>
        </w:rPr>
        <w:t xml:space="preserve">, </w:t>
      </w:r>
      <w:r w:rsidR="00246AF9" w:rsidRPr="00B424A1">
        <w:rPr>
          <w:rFonts w:ascii="Times New Roman" w:eastAsia="Times New Roman" w:hAnsi="Times New Roman" w:cs="Times New Roman"/>
          <w:lang w:eastAsia="en-GB"/>
        </w:rPr>
        <w:t>the</w:t>
      </w:r>
      <w:r w:rsidR="007214CE" w:rsidRPr="00B424A1">
        <w:rPr>
          <w:rFonts w:ascii="Times New Roman" w:hAnsi="Times New Roman" w:cs="Times New Roman"/>
        </w:rPr>
        <w:t xml:space="preserve"> combination of consistently strong loadings on the general factor and </w:t>
      </w:r>
      <w:r w:rsidR="001802A8">
        <w:rPr>
          <w:rFonts w:ascii="Times New Roman" w:hAnsi="Times New Roman" w:cs="Times New Roman"/>
        </w:rPr>
        <w:t>weaker/</w:t>
      </w:r>
      <w:r w:rsidR="00C07073" w:rsidRPr="00B424A1">
        <w:rPr>
          <w:rFonts w:ascii="Times New Roman" w:hAnsi="Times New Roman" w:cs="Times New Roman"/>
        </w:rPr>
        <w:t>in</w:t>
      </w:r>
      <w:r w:rsidR="007214CE" w:rsidRPr="00B424A1">
        <w:rPr>
          <w:rFonts w:ascii="Times New Roman" w:hAnsi="Times New Roman" w:cs="Times New Roman"/>
        </w:rPr>
        <w:t>adequate loadings on the specific factors s</w:t>
      </w:r>
      <w:r w:rsidR="009078DD" w:rsidRPr="00B424A1">
        <w:rPr>
          <w:rFonts w:ascii="Times New Roman" w:hAnsi="Times New Roman" w:cs="Times New Roman"/>
        </w:rPr>
        <w:t xml:space="preserve">uggested </w:t>
      </w:r>
      <w:r w:rsidR="00A541B3" w:rsidRPr="00B424A1">
        <w:rPr>
          <w:rFonts w:ascii="Times New Roman" w:hAnsi="Times New Roman" w:cs="Times New Roman"/>
        </w:rPr>
        <w:t xml:space="preserve">a </w:t>
      </w:r>
      <w:r w:rsidR="009078DD" w:rsidRPr="00B424A1">
        <w:rPr>
          <w:rFonts w:ascii="Times New Roman" w:hAnsi="Times New Roman" w:cs="Times New Roman"/>
        </w:rPr>
        <w:t xml:space="preserve">relative dominance of </w:t>
      </w:r>
      <w:r w:rsidR="003B0967" w:rsidRPr="00B424A1">
        <w:rPr>
          <w:rFonts w:ascii="Times New Roman" w:hAnsi="Times New Roman" w:cs="Times New Roman"/>
        </w:rPr>
        <w:t xml:space="preserve">the </w:t>
      </w:r>
      <w:r w:rsidR="00A541B3" w:rsidRPr="00B424A1">
        <w:rPr>
          <w:rFonts w:ascii="Times New Roman" w:hAnsi="Times New Roman" w:cs="Times New Roman"/>
        </w:rPr>
        <w:t xml:space="preserve">general </w:t>
      </w:r>
      <w:r w:rsidR="003B0967" w:rsidRPr="00B424A1">
        <w:rPr>
          <w:rFonts w:ascii="Times New Roman" w:hAnsi="Times New Roman" w:cs="Times New Roman"/>
        </w:rPr>
        <w:t>factor</w:t>
      </w:r>
      <w:r w:rsidR="00A673F2">
        <w:rPr>
          <w:rFonts w:ascii="Times New Roman" w:hAnsi="Times New Roman" w:cs="Times New Roman"/>
        </w:rPr>
        <w:t xml:space="preserve"> underlying the DASS21 in TBI</w:t>
      </w:r>
      <w:r w:rsidR="00821C5E" w:rsidRPr="00B424A1">
        <w:rPr>
          <w:rFonts w:ascii="Times New Roman" w:hAnsi="Times New Roman" w:cs="Times New Roman"/>
        </w:rPr>
        <w:t>.</w:t>
      </w:r>
      <w:r w:rsidR="00D30856">
        <w:rPr>
          <w:rFonts w:ascii="Times New Roman" w:hAnsi="Times New Roman" w:cs="Times New Roman"/>
        </w:rPr>
        <w:t xml:space="preserve"> </w:t>
      </w:r>
      <w:r w:rsidR="00387BC1">
        <w:rPr>
          <w:rFonts w:ascii="Times New Roman" w:hAnsi="Times New Roman" w:cs="Times New Roman"/>
        </w:rPr>
        <w:t>The factor loadings for all four estimated DASS21 models, alongside their 95% CIs, can be found in the Supplemental Materials (Tables S1–S3).</w:t>
      </w:r>
    </w:p>
    <w:p w14:paraId="46AEC5A2" w14:textId="2ABF07E6" w:rsidR="004A40A6" w:rsidRDefault="00387BC1" w:rsidP="00387BC1">
      <w:pPr>
        <w:rPr>
          <w:rFonts w:ascii="Times New Roman" w:hAnsi="Times New Roman" w:cs="Times New Roman"/>
        </w:rPr>
      </w:pPr>
      <w:r>
        <w:rPr>
          <w:rFonts w:ascii="Times New Roman" w:hAnsi="Times New Roman" w:cs="Times New Roman"/>
        </w:rPr>
        <w:t xml:space="preserve">Additionally, </w:t>
      </w:r>
      <w:r w:rsidR="001C7FB4">
        <w:rPr>
          <w:rFonts w:ascii="Times New Roman" w:hAnsi="Times New Roman" w:cs="Times New Roman"/>
        </w:rPr>
        <w:t xml:space="preserve">inspecting the </w:t>
      </w:r>
      <w:r>
        <w:rPr>
          <w:rFonts w:ascii="Times New Roman" w:hAnsi="Times New Roman" w:cs="Times New Roman"/>
        </w:rPr>
        <w:t xml:space="preserve">inter-factor correlations in the first- and second-order factor models raise reservations about the distinctiveness of the depression, anxiety, and stress factors. </w:t>
      </w:r>
      <w:r>
        <w:rPr>
          <w:rFonts w:cstheme="minorHAnsi"/>
        </w:rPr>
        <w:t>In the first-order model, the correlations between the depression, anxiety, and stress factors were very strong (</w:t>
      </w:r>
      <w:r>
        <w:rPr>
          <w:rFonts w:cstheme="minorHAnsi"/>
          <w:i/>
          <w:iCs/>
        </w:rPr>
        <w:t>r</w:t>
      </w:r>
      <w:r w:rsidR="00C06F91">
        <w:rPr>
          <w:rFonts w:cstheme="minorHAnsi"/>
          <w:i/>
          <w:iCs/>
        </w:rPr>
        <w:t xml:space="preserve"> </w:t>
      </w:r>
      <w:r>
        <w:rPr>
          <w:rFonts w:cstheme="minorHAnsi"/>
        </w:rPr>
        <w:t>=</w:t>
      </w:r>
      <w:r w:rsidR="00C06F91">
        <w:rPr>
          <w:rFonts w:cstheme="minorHAnsi"/>
        </w:rPr>
        <w:t xml:space="preserve"> </w:t>
      </w:r>
      <w:r>
        <w:rPr>
          <w:rFonts w:cstheme="minorHAnsi"/>
        </w:rPr>
        <w:t>.74–</w:t>
      </w:r>
      <w:r w:rsidRPr="006F14D6">
        <w:rPr>
          <w:rFonts w:cstheme="minorHAnsi"/>
        </w:rPr>
        <w:t>.87</w:t>
      </w:r>
      <w:r>
        <w:rPr>
          <w:rFonts w:cstheme="minorHAnsi"/>
        </w:rPr>
        <w:t xml:space="preserve">). Similarly, in the second-order factor model, the higher-order general distress factor was correlated at .89 with depression (79% variance explained), .83 with anxiety (69% variance explained), and .98 with stress (96% variance </w:t>
      </w:r>
      <w:r>
        <w:rPr>
          <w:rFonts w:cstheme="minorHAnsi"/>
        </w:rPr>
        <w:lastRenderedPageBreak/>
        <w:t xml:space="preserve">explained). This suggests that, in TBI, the DASS21 depression, anxiety, and stress factors are </w:t>
      </w:r>
      <w:r w:rsidR="00D5004B">
        <w:rPr>
          <w:rFonts w:cstheme="minorHAnsi"/>
        </w:rPr>
        <w:t>not well-</w:t>
      </w:r>
      <w:r>
        <w:rPr>
          <w:rFonts w:cstheme="minorHAnsi"/>
        </w:rPr>
        <w:t xml:space="preserve">differentiated from one another </w:t>
      </w:r>
      <w:r w:rsidR="00D5004B">
        <w:rPr>
          <w:rFonts w:cstheme="minorHAnsi"/>
        </w:rPr>
        <w:t>or</w:t>
      </w:r>
      <w:r>
        <w:rPr>
          <w:rFonts w:cstheme="minorHAnsi"/>
        </w:rPr>
        <w:t xml:space="preserve"> </w:t>
      </w:r>
      <w:r w:rsidR="001815C9">
        <w:rPr>
          <w:rFonts w:cstheme="minorHAnsi"/>
        </w:rPr>
        <w:t xml:space="preserve">from </w:t>
      </w:r>
      <w:r w:rsidR="001C7FB4">
        <w:rPr>
          <w:rFonts w:cstheme="minorHAnsi"/>
        </w:rPr>
        <w:t xml:space="preserve">the </w:t>
      </w:r>
      <w:r>
        <w:rPr>
          <w:rFonts w:cstheme="minorHAnsi"/>
        </w:rPr>
        <w:t>general distress factor</w:t>
      </w:r>
      <w:r w:rsidR="00D5004B">
        <w:rPr>
          <w:rFonts w:cstheme="minorHAnsi"/>
        </w:rPr>
        <w:t xml:space="preserve"> (Farrell, 2010)</w:t>
      </w:r>
      <w:r w:rsidR="00E44E47">
        <w:rPr>
          <w:rFonts w:cstheme="minorHAnsi"/>
        </w:rPr>
        <w:t xml:space="preserve">. </w:t>
      </w:r>
      <w:r w:rsidR="001815C9">
        <w:rPr>
          <w:rFonts w:cstheme="minorHAnsi"/>
        </w:rPr>
        <w:t>Particularly</w:t>
      </w:r>
      <w:r>
        <w:rPr>
          <w:rFonts w:cstheme="minorHAnsi"/>
        </w:rPr>
        <w:t xml:space="preserve">, the specific stress factor </w:t>
      </w:r>
      <w:r w:rsidR="001815C9">
        <w:rPr>
          <w:rFonts w:cstheme="minorHAnsi"/>
        </w:rPr>
        <w:t>in this study was</w:t>
      </w:r>
      <w:r>
        <w:rPr>
          <w:rFonts w:cstheme="minorHAnsi"/>
        </w:rPr>
        <w:t xml:space="preserve"> essentially statistically indistinguishable from </w:t>
      </w:r>
      <w:r w:rsidR="001C7FB4">
        <w:rPr>
          <w:rFonts w:cstheme="minorHAnsi"/>
        </w:rPr>
        <w:t xml:space="preserve">a </w:t>
      </w:r>
      <w:r>
        <w:rPr>
          <w:rFonts w:cstheme="minorHAnsi"/>
        </w:rPr>
        <w:t>general distress</w:t>
      </w:r>
      <w:r w:rsidR="001C7FB4">
        <w:rPr>
          <w:rFonts w:cstheme="minorHAnsi"/>
        </w:rPr>
        <w:t xml:space="preserve"> construct.</w:t>
      </w:r>
    </w:p>
    <w:p w14:paraId="04A61A98" w14:textId="77777777" w:rsidR="001802A8" w:rsidRDefault="001802A8" w:rsidP="000A2783">
      <w:pPr>
        <w:ind w:firstLine="0"/>
        <w:rPr>
          <w:b/>
          <w:bCs/>
        </w:rPr>
      </w:pPr>
    </w:p>
    <w:p w14:paraId="6E4231A2" w14:textId="4A0C405B" w:rsidR="00F163A7" w:rsidRPr="00B424A1" w:rsidRDefault="00F163A7" w:rsidP="00F163A7">
      <w:pPr>
        <w:spacing w:line="276" w:lineRule="auto"/>
        <w:ind w:firstLine="0"/>
        <w:rPr>
          <w:lang w:val="en-GB"/>
        </w:rPr>
      </w:pPr>
      <w:r w:rsidRPr="00B424A1">
        <w:rPr>
          <w:b/>
          <w:bCs/>
        </w:rPr>
        <w:t xml:space="preserve">Figure </w:t>
      </w:r>
      <w:r w:rsidR="00047F6C" w:rsidRPr="00B424A1">
        <w:rPr>
          <w:b/>
          <w:bCs/>
        </w:rPr>
        <w:t>2</w:t>
      </w:r>
      <w:r w:rsidRPr="00B424A1">
        <w:rPr>
          <w:b/>
          <w:bCs/>
        </w:rPr>
        <w:br/>
      </w:r>
      <w:r w:rsidRPr="00B424A1">
        <w:rPr>
          <w:i/>
          <w:iCs/>
        </w:rPr>
        <w:t>DASS21 I</w:t>
      </w:r>
      <w:r w:rsidR="00E56939">
        <w:rPr>
          <w:i/>
          <w:iCs/>
        </w:rPr>
        <w:t xml:space="preserve">tem </w:t>
      </w:r>
      <w:r w:rsidRPr="00B424A1">
        <w:rPr>
          <w:i/>
          <w:iCs/>
        </w:rPr>
        <w:t xml:space="preserve">Loadings in </w:t>
      </w:r>
      <w:r w:rsidR="00D31E0F" w:rsidRPr="00B424A1">
        <w:rPr>
          <w:i/>
          <w:iCs/>
        </w:rPr>
        <w:t xml:space="preserve">the </w:t>
      </w:r>
      <w:r w:rsidRPr="00B424A1">
        <w:rPr>
          <w:i/>
          <w:iCs/>
        </w:rPr>
        <w:t>Bifactor and Unidimensional Models (n = 136)</w:t>
      </w:r>
    </w:p>
    <w:p w14:paraId="7C76FFE6" w14:textId="15543453" w:rsidR="00F163A7" w:rsidRPr="00B424A1" w:rsidRDefault="00D31E0F" w:rsidP="00F163A7">
      <w:pPr>
        <w:pStyle w:val="TableFigure"/>
        <w:rPr>
          <w:i/>
          <w:iCs/>
        </w:rPr>
      </w:pPr>
      <w:r w:rsidRPr="00B424A1">
        <w:rPr>
          <w:i/>
          <w:iCs/>
          <w:noProof/>
        </w:rPr>
        <w:drawing>
          <wp:inline distT="0" distB="0" distL="0" distR="0" wp14:anchorId="70F3E2D4" wp14:editId="5DBC213E">
            <wp:extent cx="5727700" cy="4965700"/>
            <wp:effectExtent l="0" t="0" r="6350" b="6350"/>
            <wp:docPr id="489174393" name="Picture 489174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27700" cy="4965700"/>
                    </a:xfrm>
                    <a:prstGeom prst="rect">
                      <a:avLst/>
                    </a:prstGeom>
                    <a:noFill/>
                    <a:ln>
                      <a:noFill/>
                    </a:ln>
                  </pic:spPr>
                </pic:pic>
              </a:graphicData>
            </a:graphic>
          </wp:inline>
        </w:drawing>
      </w:r>
    </w:p>
    <w:p w14:paraId="7C9F4A3A" w14:textId="5B32B80D" w:rsidR="006B4F18" w:rsidRDefault="00F163A7" w:rsidP="004452E8">
      <w:pPr>
        <w:pStyle w:val="TableFigure"/>
        <w:spacing w:after="240" w:line="276" w:lineRule="auto"/>
      </w:pPr>
      <w:r w:rsidRPr="00B424A1">
        <w:rPr>
          <w:i/>
          <w:iCs/>
        </w:rPr>
        <w:t>Note.</w:t>
      </w:r>
      <w:r w:rsidRPr="00B424A1">
        <w:t xml:space="preserve"> </w:t>
      </w:r>
      <w:r w:rsidRPr="00B424A1">
        <w:rPr>
          <w:b/>
          <w:bCs/>
        </w:rPr>
        <w:t>A.</w:t>
      </w:r>
      <w:r w:rsidRPr="00B424A1">
        <w:t xml:space="preserve"> Item factor loadings on general distress in the DASS21 unidimensional model. </w:t>
      </w:r>
      <w:r w:rsidRPr="00B424A1">
        <w:rPr>
          <w:b/>
          <w:bCs/>
        </w:rPr>
        <w:t>B.</w:t>
      </w:r>
      <w:r w:rsidRPr="00B424A1">
        <w:t xml:space="preserve"> Item factor loadings on general distress and on depression, anxiety, and stress in the DASS21 bifactor model. </w:t>
      </w:r>
      <w:r w:rsidR="004452E8">
        <w:t xml:space="preserve">Loadings are fully standardized. </w:t>
      </w:r>
      <w:r w:rsidRPr="00B424A1">
        <w:t xml:space="preserve">Bar colors relate to loading strength (Green = ‘good’ to ‘excellent’; Yellow = ‘fair’ to “good”; Orange = ‘poor’; Red = negative loadings). Loading strength on the </w:t>
      </w:r>
      <w:r w:rsidRPr="00B424A1">
        <w:rPr>
          <w:i/>
          <w:iCs/>
        </w:rPr>
        <w:t>x</w:t>
      </w:r>
      <w:r w:rsidRPr="00B424A1">
        <w:t>-axis is depicted as absolute magnitude, whilst the direction (negative/positive) is depicted as the color saturation in accordance with the legend. Inadequate factor loadings (</w:t>
      </w:r>
      <w:r w:rsidRPr="00B424A1">
        <w:rPr>
          <w:rFonts w:eastAsia="HGSMinchoE" w:cstheme="minorHAnsi"/>
        </w:rPr>
        <w:t xml:space="preserve">λ &lt; .32; </w:t>
      </w:r>
      <w:r w:rsidRPr="00B424A1">
        <w:t xml:space="preserve">Tabachnick et al., 2019) are depicted by the vertical red </w:t>
      </w:r>
      <w:r w:rsidRPr="00B424A1">
        <w:lastRenderedPageBreak/>
        <w:t>dotted line. This figure reveals that items typically loaded stronger on the general distress factor than on their respective specific factor. DASS = Depression Anxiety Stress Scales</w:t>
      </w:r>
    </w:p>
    <w:p w14:paraId="76169F5B" w14:textId="77777777" w:rsidR="004452E8" w:rsidRDefault="004452E8" w:rsidP="004452E8">
      <w:pPr>
        <w:pStyle w:val="TableFigure"/>
        <w:spacing w:after="240"/>
      </w:pPr>
    </w:p>
    <w:p w14:paraId="5112F2A8" w14:textId="77777777" w:rsidR="004452E8" w:rsidRPr="00B424A1" w:rsidRDefault="004452E8" w:rsidP="004452E8">
      <w:pPr>
        <w:pStyle w:val="TableFigure"/>
      </w:pPr>
    </w:p>
    <w:p w14:paraId="171EBF2E" w14:textId="77777777" w:rsidR="001815C9" w:rsidRPr="00B424A1" w:rsidRDefault="001815C9" w:rsidP="001815C9">
      <w:pPr>
        <w:pStyle w:val="Heading3"/>
      </w:pPr>
      <w:r w:rsidRPr="00B424A1">
        <w:t>Bifactor Statistical Indices</w:t>
      </w:r>
    </w:p>
    <w:p w14:paraId="284E5027" w14:textId="713BA8B9" w:rsidR="001815C9" w:rsidRDefault="001815C9" w:rsidP="001815C9">
      <w:pPr>
        <w:rPr>
          <w:rFonts w:ascii="Times New Roman" w:eastAsia="Times New Roman" w:hAnsi="Times New Roman" w:cs="Times New Roman"/>
          <w:lang w:eastAsia="en-GB"/>
        </w:rPr>
      </w:pPr>
      <w:r>
        <w:rPr>
          <w:rFonts w:ascii="Times New Roman" w:eastAsia="Times New Roman" w:hAnsi="Times New Roman" w:cs="Times New Roman"/>
          <w:lang w:eastAsia="en-GB"/>
        </w:rPr>
        <w:t>To formally quantify the</w:t>
      </w:r>
      <w:r>
        <w:rPr>
          <w:lang w:eastAsia="en-GB"/>
        </w:rPr>
        <w:t xml:space="preserve"> relative </w:t>
      </w:r>
      <w:r w:rsidRPr="00B424A1">
        <w:t>reliability of the DASS</w:t>
      </w:r>
      <w:r>
        <w:t>21</w:t>
      </w:r>
      <w:r w:rsidRPr="00B424A1">
        <w:t xml:space="preserve"> general and specific factors</w:t>
      </w:r>
      <w:r>
        <w:t xml:space="preserve">, we computed omega hierarchical reliability </w:t>
      </w:r>
      <w:r w:rsidR="001C7FB4">
        <w:t>coefficients (</w:t>
      </w:r>
      <w:r w:rsidR="001C7FB4" w:rsidRPr="00B424A1">
        <w:rPr>
          <w:rFonts w:ascii="Times New Roman" w:eastAsia="Times New Roman" w:hAnsi="Times New Roman" w:cs="Times New Roman"/>
          <w:lang w:eastAsia="en-GB"/>
        </w:rPr>
        <w:t>ω</w:t>
      </w:r>
      <w:r w:rsidR="001C7FB4" w:rsidRPr="00B424A1">
        <w:rPr>
          <w:rFonts w:ascii="Times New Roman" w:hAnsi="Times New Roman" w:cs="Times New Roman"/>
          <w:i/>
          <w:iCs/>
          <w:position w:val="-2"/>
          <w:vertAlign w:val="subscript"/>
          <w:lang w:eastAsia="en-GB"/>
        </w:rPr>
        <w:t>h</w:t>
      </w:r>
      <w:r w:rsidR="001C7FB4">
        <w:rPr>
          <w:rFonts w:ascii="Times New Roman" w:hAnsi="Times New Roman" w:cs="Times New Roman"/>
          <w:position w:val="-2"/>
          <w:lang w:eastAsia="en-GB"/>
        </w:rPr>
        <w:t>)</w:t>
      </w:r>
      <w:r>
        <w:t>.</w:t>
      </w:r>
      <w:r>
        <w:rPr>
          <w:rFonts w:ascii="Times New Roman" w:eastAsia="Times New Roman" w:hAnsi="Times New Roman" w:cs="Times New Roman"/>
          <w:lang w:eastAsia="en-GB"/>
        </w:rPr>
        <w:t xml:space="preserve"> </w:t>
      </w:r>
      <w:r w:rsidRPr="00B424A1">
        <w:rPr>
          <w:rFonts w:ascii="Times New Roman" w:eastAsia="Times New Roman" w:hAnsi="Times New Roman" w:cs="Times New Roman"/>
          <w:lang w:eastAsia="en-GB"/>
        </w:rPr>
        <w:t>Consistent with our inspection of the factor loadings, 89% of the systematic variance in DASS21 total scores was attributable to the general factor (ω</w:t>
      </w:r>
      <w:r w:rsidRPr="00B424A1">
        <w:rPr>
          <w:rFonts w:ascii="Times New Roman" w:hAnsi="Times New Roman" w:cs="Times New Roman"/>
          <w:i/>
          <w:iCs/>
          <w:position w:val="-2"/>
          <w:vertAlign w:val="subscript"/>
          <w:lang w:eastAsia="en-GB"/>
        </w:rPr>
        <w:t>h</w:t>
      </w:r>
      <w:r w:rsidRPr="00B424A1">
        <w:rPr>
          <w:rFonts w:ascii="Times New Roman" w:eastAsia="Times New Roman" w:hAnsi="Times New Roman" w:cs="Times New Roman"/>
          <w:lang w:eastAsia="en-GB"/>
        </w:rPr>
        <w:t xml:space="preserve"> = .89), reflecting good reliability (ω</w:t>
      </w:r>
      <w:r w:rsidRPr="00B424A1">
        <w:rPr>
          <w:rFonts w:ascii="Times New Roman" w:hAnsi="Times New Roman" w:cs="Times New Roman"/>
          <w:i/>
          <w:iCs/>
          <w:position w:val="-2"/>
          <w:vertAlign w:val="subscript"/>
          <w:lang w:eastAsia="en-GB"/>
        </w:rPr>
        <w:t>h</w:t>
      </w:r>
      <w:r w:rsidRPr="00B424A1">
        <w:rPr>
          <w:rFonts w:ascii="Times New Roman" w:eastAsia="Times New Roman" w:hAnsi="Times New Roman" w:cs="Times New Roman"/>
          <w:lang w:eastAsia="en-GB"/>
        </w:rPr>
        <w:t xml:space="preserve"> ≥ .80 sufficient). After controlling for the general factor, little residual systematic variance in </w:t>
      </w:r>
      <w:r w:rsidR="001802A8">
        <w:rPr>
          <w:rFonts w:ascii="Times New Roman" w:eastAsia="Times New Roman" w:hAnsi="Times New Roman" w:cs="Times New Roman"/>
          <w:lang w:eastAsia="en-GB"/>
        </w:rPr>
        <w:t xml:space="preserve">the </w:t>
      </w:r>
      <w:r w:rsidR="001C7FB4">
        <w:rPr>
          <w:rFonts w:ascii="Times New Roman" w:eastAsia="Times New Roman" w:hAnsi="Times New Roman" w:cs="Times New Roman"/>
          <w:lang w:eastAsia="en-GB"/>
        </w:rPr>
        <w:t>individual scale</w:t>
      </w:r>
      <w:r w:rsidRPr="00B424A1">
        <w:rPr>
          <w:rFonts w:ascii="Times New Roman" w:eastAsia="Times New Roman" w:hAnsi="Times New Roman" w:cs="Times New Roman"/>
          <w:lang w:eastAsia="en-GB"/>
        </w:rPr>
        <w:t xml:space="preserve"> scores was attributable to the specific depression (ω</w:t>
      </w:r>
      <w:r w:rsidRPr="00B424A1">
        <w:rPr>
          <w:rFonts w:ascii="Times New Roman" w:hAnsi="Times New Roman" w:cs="Times New Roman"/>
          <w:i/>
          <w:iCs/>
          <w:position w:val="-2"/>
          <w:vertAlign w:val="subscript"/>
          <w:lang w:eastAsia="en-GB"/>
        </w:rPr>
        <w:t>hs</w:t>
      </w:r>
      <w:r w:rsidRPr="00B424A1">
        <w:rPr>
          <w:rFonts w:ascii="Times New Roman" w:eastAsia="Times New Roman" w:hAnsi="Times New Roman" w:cs="Times New Roman"/>
          <w:lang w:eastAsia="en-GB"/>
        </w:rPr>
        <w:t xml:space="preserve"> = .</w:t>
      </w:r>
      <w:r w:rsidRPr="00B424A1">
        <w:rPr>
          <w:rFonts w:ascii="Times New Roman" w:hAnsi="Times New Roman" w:cs="Times New Roman"/>
          <w:position w:val="-2"/>
          <w:lang w:eastAsia="en-GB"/>
        </w:rPr>
        <w:t>27)</w:t>
      </w:r>
      <w:r w:rsidRPr="00B424A1">
        <w:rPr>
          <w:rFonts w:ascii="Times New Roman" w:eastAsia="Times New Roman" w:hAnsi="Times New Roman" w:cs="Times New Roman"/>
          <w:lang w:eastAsia="en-GB"/>
        </w:rPr>
        <w:t>, anxiety (ω</w:t>
      </w:r>
      <w:r w:rsidRPr="00B424A1">
        <w:rPr>
          <w:rFonts w:ascii="Times New Roman" w:hAnsi="Times New Roman" w:cs="Times New Roman"/>
          <w:i/>
          <w:iCs/>
          <w:position w:val="-2"/>
          <w:vertAlign w:val="subscript"/>
          <w:lang w:eastAsia="en-GB"/>
        </w:rPr>
        <w:t>hs</w:t>
      </w:r>
      <w:r w:rsidRPr="00B424A1">
        <w:rPr>
          <w:rFonts w:ascii="Times New Roman" w:eastAsia="Times New Roman" w:hAnsi="Times New Roman" w:cs="Times New Roman"/>
          <w:lang w:eastAsia="en-GB"/>
        </w:rPr>
        <w:t xml:space="preserve"> =</w:t>
      </w:r>
      <w:r w:rsidRPr="00B424A1">
        <w:rPr>
          <w:rFonts w:ascii="Times New Roman" w:hAnsi="Times New Roman" w:cs="Times New Roman"/>
          <w:position w:val="-2"/>
          <w:lang w:eastAsia="en-GB"/>
        </w:rPr>
        <w:t xml:space="preserve"> .11)</w:t>
      </w:r>
      <w:r w:rsidRPr="00B424A1">
        <w:rPr>
          <w:rFonts w:ascii="Times New Roman" w:eastAsia="Times New Roman" w:hAnsi="Times New Roman" w:cs="Times New Roman"/>
          <w:lang w:eastAsia="en-GB"/>
        </w:rPr>
        <w:t>, and stress factors (ω</w:t>
      </w:r>
      <w:r w:rsidRPr="00B424A1">
        <w:rPr>
          <w:rFonts w:ascii="Times New Roman" w:hAnsi="Times New Roman" w:cs="Times New Roman"/>
          <w:i/>
          <w:iCs/>
          <w:position w:val="-2"/>
          <w:vertAlign w:val="subscript"/>
          <w:lang w:eastAsia="en-GB"/>
        </w:rPr>
        <w:t>hs</w:t>
      </w:r>
      <w:r w:rsidRPr="00B424A1">
        <w:rPr>
          <w:rFonts w:ascii="Times New Roman" w:eastAsia="Times New Roman" w:hAnsi="Times New Roman" w:cs="Times New Roman"/>
          <w:lang w:eastAsia="en-GB"/>
        </w:rPr>
        <w:t xml:space="preserve"> =</w:t>
      </w:r>
      <w:r w:rsidRPr="00B424A1">
        <w:rPr>
          <w:rFonts w:ascii="Times New Roman" w:hAnsi="Times New Roman" w:cs="Times New Roman"/>
          <w:position w:val="-2"/>
          <w:lang w:eastAsia="en-GB"/>
        </w:rPr>
        <w:t xml:space="preserve"> .13), </w:t>
      </w:r>
      <w:r w:rsidRPr="00B424A1">
        <w:rPr>
          <w:rFonts w:ascii="Times New Roman" w:eastAsia="Times New Roman" w:hAnsi="Times New Roman" w:cs="Times New Roman"/>
          <w:lang w:eastAsia="en-GB"/>
        </w:rPr>
        <w:t xml:space="preserve">reflecting </w:t>
      </w:r>
      <w:r w:rsidR="001C7FB4">
        <w:rPr>
          <w:rFonts w:ascii="Times New Roman" w:eastAsia="Times New Roman" w:hAnsi="Times New Roman" w:cs="Times New Roman"/>
          <w:lang w:eastAsia="en-GB"/>
        </w:rPr>
        <w:t>relatively lower</w:t>
      </w:r>
      <w:r w:rsidRPr="00B424A1">
        <w:rPr>
          <w:rFonts w:ascii="Times New Roman" w:eastAsia="Times New Roman" w:hAnsi="Times New Roman" w:cs="Times New Roman"/>
          <w:lang w:eastAsia="en-GB"/>
        </w:rPr>
        <w:t xml:space="preserve"> reliability (ω</w:t>
      </w:r>
      <w:r w:rsidRPr="00B424A1">
        <w:rPr>
          <w:rFonts w:ascii="Times New Roman" w:hAnsi="Times New Roman" w:cs="Times New Roman"/>
          <w:i/>
          <w:iCs/>
          <w:position w:val="-2"/>
          <w:vertAlign w:val="subscript"/>
          <w:lang w:eastAsia="en-GB"/>
        </w:rPr>
        <w:t xml:space="preserve">hs  </w:t>
      </w:r>
      <w:r w:rsidRPr="00B424A1">
        <w:rPr>
          <w:rFonts w:ascii="Times New Roman" w:eastAsia="Times New Roman" w:hAnsi="Times New Roman" w:cs="Times New Roman"/>
          <w:lang w:eastAsia="en-GB"/>
        </w:rPr>
        <w:t>≥ .50 required). The high ω</w:t>
      </w:r>
      <w:r w:rsidRPr="00B424A1">
        <w:rPr>
          <w:rFonts w:ascii="Times New Roman" w:hAnsi="Times New Roman" w:cs="Times New Roman"/>
          <w:i/>
          <w:iCs/>
          <w:position w:val="-2"/>
          <w:vertAlign w:val="subscript"/>
          <w:lang w:eastAsia="en-GB"/>
        </w:rPr>
        <w:t>h</w:t>
      </w:r>
      <w:r w:rsidRPr="00B424A1">
        <w:rPr>
          <w:rFonts w:ascii="Times New Roman" w:hAnsi="Times New Roman" w:cs="Times New Roman"/>
          <w:position w:val="-2"/>
          <w:vertAlign w:val="subscript"/>
          <w:lang w:eastAsia="en-GB"/>
        </w:rPr>
        <w:t xml:space="preserve"> </w:t>
      </w:r>
      <w:r w:rsidRPr="00B424A1">
        <w:rPr>
          <w:rFonts w:ascii="Times New Roman" w:eastAsia="Times New Roman" w:hAnsi="Times New Roman" w:cs="Times New Roman"/>
          <w:lang w:eastAsia="en-GB"/>
        </w:rPr>
        <w:t>and relatively small ω</w:t>
      </w:r>
      <w:r w:rsidRPr="00B424A1">
        <w:rPr>
          <w:rFonts w:ascii="Times New Roman" w:hAnsi="Times New Roman" w:cs="Times New Roman"/>
          <w:i/>
          <w:iCs/>
          <w:position w:val="-2"/>
          <w:vertAlign w:val="subscript"/>
          <w:lang w:eastAsia="en-GB"/>
        </w:rPr>
        <w:t>hs</w:t>
      </w:r>
      <w:r w:rsidRPr="00B424A1">
        <w:rPr>
          <w:rFonts w:ascii="Times New Roman" w:eastAsia="Times New Roman" w:hAnsi="Times New Roman" w:cs="Times New Roman"/>
          <w:lang w:eastAsia="en-GB"/>
        </w:rPr>
        <w:t xml:space="preserve"> values indicate that the DASS21 did not reliably capture more specific constructs beyond general distress but rather comprised a dominant general distress factor.</w:t>
      </w:r>
    </w:p>
    <w:p w14:paraId="2084AC43" w14:textId="3F8A4C0F" w:rsidR="00072CCA" w:rsidRPr="00B424A1" w:rsidRDefault="00E51ACC" w:rsidP="0050042C">
      <w:pPr>
        <w:rPr>
          <w:rFonts w:ascii="Times New Roman" w:eastAsia="Times New Roman" w:hAnsi="Times New Roman" w:cs="Times New Roman"/>
          <w:lang w:eastAsia="en-GB"/>
        </w:rPr>
      </w:pPr>
      <w:r w:rsidRPr="00B424A1">
        <w:rPr>
          <w:rFonts w:ascii="Times New Roman" w:eastAsia="Times New Roman" w:hAnsi="Times New Roman" w:cs="Times New Roman"/>
          <w:lang w:eastAsia="en-GB"/>
        </w:rPr>
        <w:t xml:space="preserve">We used another set of bifactor statistical indices to assess the dimensionality of the </w:t>
      </w:r>
      <w:r w:rsidR="00080556" w:rsidRPr="00B424A1">
        <w:rPr>
          <w:rFonts w:ascii="Times New Roman" w:eastAsia="Times New Roman" w:hAnsi="Times New Roman" w:cs="Times New Roman"/>
          <w:lang w:eastAsia="en-GB"/>
        </w:rPr>
        <w:t>DASS21</w:t>
      </w:r>
      <w:r w:rsidRPr="00B424A1">
        <w:rPr>
          <w:rFonts w:ascii="Times New Roman" w:eastAsia="Times New Roman" w:hAnsi="Times New Roman" w:cs="Times New Roman"/>
          <w:lang w:eastAsia="en-GB"/>
        </w:rPr>
        <w:t xml:space="preserve">. </w:t>
      </w:r>
      <w:r w:rsidR="00072CCA" w:rsidRPr="00B424A1">
        <w:rPr>
          <w:rFonts w:ascii="Times New Roman" w:eastAsia="Times New Roman" w:hAnsi="Times New Roman" w:cs="Times New Roman"/>
          <w:lang w:eastAsia="en-GB"/>
        </w:rPr>
        <w:t>T</w:t>
      </w:r>
      <w:r w:rsidR="00F01193" w:rsidRPr="00B424A1">
        <w:rPr>
          <w:rFonts w:ascii="Times New Roman" w:eastAsia="Times New Roman" w:hAnsi="Times New Roman" w:cs="Times New Roman"/>
          <w:lang w:eastAsia="en-GB"/>
        </w:rPr>
        <w:t>he</w:t>
      </w:r>
      <w:r w:rsidR="004160F9" w:rsidRPr="00B424A1">
        <w:rPr>
          <w:rFonts w:ascii="Times New Roman" w:eastAsia="Times New Roman" w:hAnsi="Times New Roman" w:cs="Times New Roman"/>
          <w:lang w:eastAsia="en-GB"/>
        </w:rPr>
        <w:t xml:space="preserve"> explained common variance </w:t>
      </w:r>
      <w:r w:rsidR="00ED0646" w:rsidRPr="00B424A1">
        <w:rPr>
          <w:rFonts w:ascii="Times New Roman" w:eastAsia="Times New Roman" w:hAnsi="Times New Roman" w:cs="Times New Roman"/>
          <w:lang w:eastAsia="en-GB"/>
        </w:rPr>
        <w:t xml:space="preserve">(ECV) indicated that </w:t>
      </w:r>
      <w:r w:rsidR="004160F9" w:rsidRPr="00B424A1">
        <w:rPr>
          <w:rFonts w:ascii="Times New Roman" w:eastAsia="Times New Roman" w:hAnsi="Times New Roman" w:cs="Times New Roman"/>
          <w:lang w:eastAsia="en-GB"/>
        </w:rPr>
        <w:t>75%</w:t>
      </w:r>
      <w:r w:rsidR="00ED0646" w:rsidRPr="00B424A1">
        <w:rPr>
          <w:rFonts w:ascii="Times New Roman" w:eastAsia="Times New Roman" w:hAnsi="Times New Roman" w:cs="Times New Roman"/>
          <w:lang w:eastAsia="en-GB"/>
        </w:rPr>
        <w:t xml:space="preserve"> </w:t>
      </w:r>
      <w:r w:rsidR="003C731A" w:rsidRPr="00B424A1">
        <w:rPr>
          <w:rFonts w:ascii="Times New Roman" w:eastAsia="Times New Roman" w:hAnsi="Times New Roman" w:cs="Times New Roman"/>
          <w:lang w:eastAsia="en-GB"/>
        </w:rPr>
        <w:t>of common variance across</w:t>
      </w:r>
      <w:r w:rsidR="00EA0A0E" w:rsidRPr="00B424A1">
        <w:rPr>
          <w:rFonts w:ascii="Times New Roman" w:eastAsia="Times New Roman" w:hAnsi="Times New Roman" w:cs="Times New Roman"/>
          <w:lang w:eastAsia="en-GB"/>
        </w:rPr>
        <w:t xml:space="preserve"> all</w:t>
      </w:r>
      <w:r w:rsidR="003C731A" w:rsidRPr="00B424A1">
        <w:rPr>
          <w:rFonts w:ascii="Times New Roman" w:eastAsia="Times New Roman" w:hAnsi="Times New Roman" w:cs="Times New Roman"/>
          <w:lang w:eastAsia="en-GB"/>
        </w:rPr>
        <w:t xml:space="preserve"> items </w:t>
      </w:r>
      <w:r w:rsidR="004160F9" w:rsidRPr="00B424A1">
        <w:rPr>
          <w:rFonts w:ascii="Times New Roman" w:eastAsia="Times New Roman" w:hAnsi="Times New Roman" w:cs="Times New Roman"/>
          <w:lang w:eastAsia="en-GB"/>
        </w:rPr>
        <w:t xml:space="preserve">was </w:t>
      </w:r>
      <w:r w:rsidR="003C731A" w:rsidRPr="00B424A1">
        <w:rPr>
          <w:rFonts w:ascii="Times New Roman" w:eastAsia="Times New Roman" w:hAnsi="Times New Roman" w:cs="Times New Roman"/>
          <w:lang w:eastAsia="en-GB"/>
        </w:rPr>
        <w:t>attribut</w:t>
      </w:r>
      <w:r w:rsidR="0061369D" w:rsidRPr="00B424A1">
        <w:rPr>
          <w:rFonts w:ascii="Times New Roman" w:eastAsia="Times New Roman" w:hAnsi="Times New Roman" w:cs="Times New Roman"/>
          <w:lang w:eastAsia="en-GB"/>
        </w:rPr>
        <w:t>able</w:t>
      </w:r>
      <w:r w:rsidR="003C731A" w:rsidRPr="00B424A1">
        <w:rPr>
          <w:rFonts w:ascii="Times New Roman" w:eastAsia="Times New Roman" w:hAnsi="Times New Roman" w:cs="Times New Roman"/>
          <w:lang w:eastAsia="en-GB"/>
        </w:rPr>
        <w:t xml:space="preserve"> to the general factor</w:t>
      </w:r>
      <w:r w:rsidR="004C06F6" w:rsidRPr="00B424A1">
        <w:rPr>
          <w:rFonts w:ascii="Times New Roman" w:eastAsia="Times New Roman" w:hAnsi="Times New Roman" w:cs="Times New Roman"/>
          <w:lang w:eastAsia="en-GB"/>
        </w:rPr>
        <w:t xml:space="preserve"> (ECV</w:t>
      </w:r>
      <w:r w:rsidR="00642697" w:rsidRPr="00B424A1">
        <w:rPr>
          <w:rFonts w:ascii="Times New Roman" w:eastAsia="Times New Roman" w:hAnsi="Times New Roman" w:cs="Times New Roman"/>
          <w:lang w:eastAsia="en-GB"/>
        </w:rPr>
        <w:t xml:space="preserve"> ≥</w:t>
      </w:r>
      <m:oMath>
        <m:r>
          <w:rPr>
            <w:rFonts w:ascii="Cambria Math" w:hAnsi="Cambria Math" w:cstheme="minorHAnsi"/>
          </w:rPr>
          <m:t xml:space="preserve"> </m:t>
        </m:r>
      </m:oMath>
      <w:r w:rsidR="004C06F6" w:rsidRPr="00B424A1">
        <w:rPr>
          <w:rFonts w:cstheme="minorHAnsi"/>
        </w:rPr>
        <w:t xml:space="preserve">.70 </w:t>
      </w:r>
      <w:r w:rsidR="003A02DC" w:rsidRPr="00B424A1">
        <w:rPr>
          <w:rFonts w:ascii="Times New Roman" w:hAnsi="Times New Roman" w:cs="Times New Roman"/>
        </w:rPr>
        <w:t>sufficient</w:t>
      </w:r>
      <w:r w:rsidR="004C06F6" w:rsidRPr="00B424A1">
        <w:rPr>
          <w:rFonts w:ascii="Times New Roman" w:hAnsi="Times New Roman" w:cs="Times New Roman"/>
        </w:rPr>
        <w:t xml:space="preserve"> for unidimensionality)</w:t>
      </w:r>
      <w:r w:rsidR="004160F9" w:rsidRPr="00B424A1">
        <w:rPr>
          <w:rFonts w:ascii="Times New Roman" w:eastAsia="Times New Roman" w:hAnsi="Times New Roman" w:cs="Times New Roman"/>
          <w:lang w:eastAsia="en-GB"/>
        </w:rPr>
        <w:t xml:space="preserve">. </w:t>
      </w:r>
      <w:r w:rsidR="00ED0646" w:rsidRPr="00B424A1">
        <w:rPr>
          <w:rFonts w:ascii="Times New Roman" w:eastAsia="Times New Roman" w:hAnsi="Times New Roman" w:cs="Times New Roman"/>
          <w:lang w:eastAsia="en-GB"/>
        </w:rPr>
        <w:t>Similarly, t</w:t>
      </w:r>
      <w:r w:rsidR="005C4B83" w:rsidRPr="00B424A1">
        <w:rPr>
          <w:rFonts w:ascii="Times New Roman" w:eastAsia="Times New Roman" w:hAnsi="Times New Roman" w:cs="Times New Roman"/>
          <w:lang w:eastAsia="en-GB"/>
        </w:rPr>
        <w:t xml:space="preserve">he percentage </w:t>
      </w:r>
      <w:r w:rsidR="00C32616" w:rsidRPr="00B424A1">
        <w:rPr>
          <w:rFonts w:ascii="Times New Roman" w:eastAsia="Times New Roman" w:hAnsi="Times New Roman" w:cs="Times New Roman"/>
          <w:lang w:eastAsia="en-GB"/>
        </w:rPr>
        <w:t xml:space="preserve">of </w:t>
      </w:r>
      <w:r w:rsidR="005C4B83" w:rsidRPr="00B424A1">
        <w:rPr>
          <w:rFonts w:ascii="Times New Roman" w:eastAsia="Times New Roman" w:hAnsi="Times New Roman" w:cs="Times New Roman"/>
          <w:lang w:eastAsia="en-GB"/>
        </w:rPr>
        <w:t xml:space="preserve">uncontaminated </w:t>
      </w:r>
      <w:r w:rsidR="003C731A" w:rsidRPr="00B424A1">
        <w:rPr>
          <w:rFonts w:ascii="Times New Roman" w:eastAsia="Times New Roman" w:hAnsi="Times New Roman" w:cs="Times New Roman"/>
          <w:lang w:eastAsia="en-GB"/>
        </w:rPr>
        <w:t xml:space="preserve">(PUC) </w:t>
      </w:r>
      <w:r w:rsidR="005C4B83" w:rsidRPr="00B424A1">
        <w:rPr>
          <w:rFonts w:ascii="Times New Roman" w:eastAsia="Times New Roman" w:hAnsi="Times New Roman" w:cs="Times New Roman"/>
          <w:lang w:eastAsia="en-GB"/>
        </w:rPr>
        <w:t>correlations</w:t>
      </w:r>
      <w:r w:rsidR="006E7066" w:rsidRPr="00B424A1">
        <w:rPr>
          <w:rFonts w:ascii="Times New Roman" w:eastAsia="Times New Roman" w:hAnsi="Times New Roman" w:cs="Times New Roman"/>
          <w:lang w:eastAsia="en-GB"/>
        </w:rPr>
        <w:t xml:space="preserve"> </w:t>
      </w:r>
      <w:r w:rsidR="00C32616" w:rsidRPr="00B424A1">
        <w:rPr>
          <w:rFonts w:ascii="Times New Roman" w:eastAsia="Times New Roman" w:hAnsi="Times New Roman" w:cs="Times New Roman"/>
          <w:lang w:eastAsia="en-GB"/>
        </w:rPr>
        <w:t xml:space="preserve">indicated that 70% </w:t>
      </w:r>
      <w:r w:rsidR="003C731A" w:rsidRPr="00B424A1">
        <w:rPr>
          <w:rFonts w:ascii="Times New Roman" w:eastAsia="Times New Roman" w:hAnsi="Times New Roman" w:cs="Times New Roman"/>
          <w:lang w:eastAsia="en-GB"/>
        </w:rPr>
        <w:t>of correlations</w:t>
      </w:r>
      <w:r w:rsidRPr="00B424A1">
        <w:rPr>
          <w:rFonts w:ascii="Times New Roman" w:eastAsia="Times New Roman" w:hAnsi="Times New Roman" w:cs="Times New Roman"/>
          <w:lang w:eastAsia="en-GB"/>
        </w:rPr>
        <w:t xml:space="preserve"> between items</w:t>
      </w:r>
      <w:r w:rsidR="003C731A" w:rsidRPr="00B424A1">
        <w:rPr>
          <w:rFonts w:ascii="Times New Roman" w:eastAsia="Times New Roman" w:hAnsi="Times New Roman" w:cs="Times New Roman"/>
          <w:lang w:eastAsia="en-GB"/>
        </w:rPr>
        <w:t xml:space="preserve"> </w:t>
      </w:r>
      <w:r w:rsidRPr="00B424A1">
        <w:rPr>
          <w:rFonts w:ascii="Times New Roman" w:eastAsia="Times New Roman" w:hAnsi="Times New Roman" w:cs="Times New Roman"/>
          <w:lang w:eastAsia="en-GB"/>
        </w:rPr>
        <w:t>w</w:t>
      </w:r>
      <w:r w:rsidR="008678A7" w:rsidRPr="00B424A1">
        <w:rPr>
          <w:rFonts w:ascii="Times New Roman" w:eastAsia="Times New Roman" w:hAnsi="Times New Roman" w:cs="Times New Roman"/>
          <w:lang w:eastAsia="en-GB"/>
        </w:rPr>
        <w:t>ere</w:t>
      </w:r>
      <w:r w:rsidRPr="00B424A1">
        <w:rPr>
          <w:rFonts w:ascii="Times New Roman" w:eastAsia="Times New Roman" w:hAnsi="Times New Roman" w:cs="Times New Roman"/>
          <w:lang w:eastAsia="en-GB"/>
        </w:rPr>
        <w:t xml:space="preserve"> </w:t>
      </w:r>
      <w:r w:rsidR="003C731A" w:rsidRPr="00B424A1">
        <w:rPr>
          <w:rFonts w:ascii="Times New Roman" w:eastAsia="Times New Roman" w:hAnsi="Times New Roman" w:cs="Times New Roman"/>
          <w:lang w:eastAsia="en-GB"/>
        </w:rPr>
        <w:t>attribut</w:t>
      </w:r>
      <w:r w:rsidR="0061369D" w:rsidRPr="00B424A1">
        <w:rPr>
          <w:rFonts w:ascii="Times New Roman" w:eastAsia="Times New Roman" w:hAnsi="Times New Roman" w:cs="Times New Roman"/>
          <w:lang w:eastAsia="en-GB"/>
        </w:rPr>
        <w:t>able</w:t>
      </w:r>
      <w:r w:rsidR="003C731A" w:rsidRPr="00B424A1">
        <w:rPr>
          <w:rFonts w:ascii="Times New Roman" w:eastAsia="Times New Roman" w:hAnsi="Times New Roman" w:cs="Times New Roman"/>
          <w:lang w:eastAsia="en-GB"/>
        </w:rPr>
        <w:t xml:space="preserve"> to the general factor</w:t>
      </w:r>
      <w:r w:rsidRPr="00B424A1">
        <w:rPr>
          <w:rFonts w:ascii="Times New Roman" w:eastAsia="Times New Roman" w:hAnsi="Times New Roman" w:cs="Times New Roman"/>
          <w:lang w:eastAsia="en-GB"/>
        </w:rPr>
        <w:t xml:space="preserve"> </w:t>
      </w:r>
      <w:r w:rsidR="00092D4C" w:rsidRPr="00B424A1">
        <w:rPr>
          <w:rFonts w:ascii="Times New Roman" w:eastAsia="Times New Roman" w:hAnsi="Times New Roman" w:cs="Times New Roman"/>
          <w:noProof/>
          <w:lang w:eastAsia="en-GB"/>
        </w:rPr>
        <w:t>(</w:t>
      </w:r>
      <w:r w:rsidR="00BA010A" w:rsidRPr="00B424A1">
        <w:rPr>
          <w:rFonts w:cstheme="minorHAnsi"/>
        </w:rPr>
        <w:t xml:space="preserve">PUC </w:t>
      </w:r>
      <w:r w:rsidR="002D0A74" w:rsidRPr="00B424A1">
        <w:rPr>
          <w:rFonts w:cstheme="minorHAnsi"/>
        </w:rPr>
        <w:t>≥</w:t>
      </w:r>
      <w:r w:rsidR="00BA010A" w:rsidRPr="00B424A1">
        <w:rPr>
          <w:rFonts w:cstheme="minorHAnsi"/>
        </w:rPr>
        <w:t xml:space="preserve"> .70 </w:t>
      </w:r>
      <w:r w:rsidR="003A02DC" w:rsidRPr="00B424A1">
        <w:t>sufficient</w:t>
      </w:r>
      <w:r w:rsidR="00BA010A" w:rsidRPr="00B424A1">
        <w:t xml:space="preserve"> for unidimensionality</w:t>
      </w:r>
      <w:r w:rsidR="00092D4C" w:rsidRPr="00996F86">
        <w:t>)</w:t>
      </w:r>
      <w:r w:rsidR="005C4B83" w:rsidRPr="00996F86">
        <w:t xml:space="preserve">. </w:t>
      </w:r>
      <w:r w:rsidR="00507651" w:rsidRPr="00996F86">
        <w:t>A</w:t>
      </w:r>
      <w:r w:rsidR="00BB6E1F" w:rsidRPr="00996F86">
        <w:t>n insignificant proportion of</w:t>
      </w:r>
      <w:r w:rsidR="000129E7" w:rsidRPr="00996F86">
        <w:t xml:space="preserve"> </w:t>
      </w:r>
      <w:r w:rsidR="0061369D" w:rsidRPr="00996F86">
        <w:t xml:space="preserve">common </w:t>
      </w:r>
      <w:r w:rsidR="000129E7" w:rsidRPr="00996F86">
        <w:t xml:space="preserve">variance was </w:t>
      </w:r>
      <w:r w:rsidR="0052552C" w:rsidRPr="00996F86">
        <w:t>explained</w:t>
      </w:r>
      <w:r w:rsidR="000129E7" w:rsidRPr="00996F86">
        <w:t xml:space="preserve"> by the </w:t>
      </w:r>
      <w:r w:rsidR="002A0615" w:rsidRPr="00996F86">
        <w:t>specific factors</w:t>
      </w:r>
      <w:r w:rsidR="00507651" w:rsidRPr="00996F86">
        <w:t xml:space="preserve"> </w:t>
      </w:r>
      <w:r w:rsidR="0052552C" w:rsidRPr="00996F86">
        <w:t>after controlling for the</w:t>
      </w:r>
      <w:r w:rsidR="00507651" w:rsidRPr="00996F86">
        <w:t xml:space="preserve"> </w:t>
      </w:r>
      <w:r w:rsidR="0061369D" w:rsidRPr="00996F86">
        <w:t xml:space="preserve">general factor </w:t>
      </w:r>
      <w:r w:rsidR="002A0615" w:rsidRPr="00996F86">
        <w:t>(</w:t>
      </w:r>
      <w:r w:rsidR="0018023F" w:rsidRPr="00996F86">
        <w:t>S-</w:t>
      </w:r>
      <w:r w:rsidR="002A0615" w:rsidRPr="00996F86">
        <w:t>ECV</w:t>
      </w:r>
      <w:r w:rsidR="0018023F" w:rsidRPr="00996F86">
        <w:rPr>
          <w:vertAlign w:val="subscript"/>
        </w:rPr>
        <w:t>Depression</w:t>
      </w:r>
      <w:r w:rsidR="002A0615" w:rsidRPr="00996F86">
        <w:t xml:space="preserve"> = </w:t>
      </w:r>
      <w:r w:rsidR="00DC4AD6" w:rsidRPr="00996F86">
        <w:t>.11</w:t>
      </w:r>
      <w:r w:rsidR="002A0615" w:rsidRPr="00996F86">
        <w:t xml:space="preserve">; </w:t>
      </w:r>
      <w:r w:rsidR="0018023F" w:rsidRPr="00996F86">
        <w:t>S-</w:t>
      </w:r>
      <w:r w:rsidR="002A0615" w:rsidRPr="00996F86">
        <w:t>ECV</w:t>
      </w:r>
      <w:r w:rsidR="0018023F" w:rsidRPr="00996F86">
        <w:rPr>
          <w:vertAlign w:val="subscript"/>
        </w:rPr>
        <w:t>Anxiety</w:t>
      </w:r>
      <w:r w:rsidR="002A0615" w:rsidRPr="00996F86">
        <w:t xml:space="preserve"> = </w:t>
      </w:r>
      <w:r w:rsidR="00DC4AD6" w:rsidRPr="00996F86">
        <w:t>.07</w:t>
      </w:r>
      <w:r w:rsidR="002A0615" w:rsidRPr="00996F86">
        <w:t xml:space="preserve">; </w:t>
      </w:r>
      <w:r w:rsidR="0018023F" w:rsidRPr="00996F86">
        <w:t>S-</w:t>
      </w:r>
      <w:r w:rsidR="002A0615" w:rsidRPr="00996F86">
        <w:t>ECV</w:t>
      </w:r>
      <w:r w:rsidR="0018023F" w:rsidRPr="00996F86">
        <w:rPr>
          <w:vertAlign w:val="subscript"/>
        </w:rPr>
        <w:t>Stress</w:t>
      </w:r>
      <w:r w:rsidR="002A0615" w:rsidRPr="00996F86">
        <w:t xml:space="preserve"> = </w:t>
      </w:r>
      <w:r w:rsidR="00DC4AD6" w:rsidRPr="00996F86">
        <w:t>.07</w:t>
      </w:r>
      <w:r w:rsidR="001207D1" w:rsidRPr="00B424A1">
        <w:t xml:space="preserve">; S-ECV </w:t>
      </w:r>
      <w:r w:rsidR="00642697" w:rsidRPr="00B424A1">
        <w:t>≥</w:t>
      </w:r>
      <w:r w:rsidR="001207D1" w:rsidRPr="00B424A1">
        <w:t xml:space="preserve"> .70 </w:t>
      </w:r>
      <w:r w:rsidR="003A02DC" w:rsidRPr="00B424A1">
        <w:t>sufficient</w:t>
      </w:r>
      <w:r w:rsidR="00E3706B" w:rsidRPr="00B424A1">
        <w:t xml:space="preserve"> for unique specific factors</w:t>
      </w:r>
      <w:r w:rsidR="002A0615" w:rsidRPr="00B424A1">
        <w:t>)</w:t>
      </w:r>
      <w:r w:rsidR="00AA4F44" w:rsidRPr="00B424A1">
        <w:t xml:space="preserve">, and </w:t>
      </w:r>
      <w:r w:rsidR="00926CF7">
        <w:t>according to the value-added ratios (VARs)</w:t>
      </w:r>
      <w:r w:rsidR="00AA4F44" w:rsidRPr="00B424A1">
        <w:t>, the individual sc</w:t>
      </w:r>
      <w:r w:rsidR="006A2432">
        <w:t>ale</w:t>
      </w:r>
      <w:r w:rsidR="00AA4F44" w:rsidRPr="00B424A1">
        <w:t xml:space="preserve"> scores did not add value beyond the total score (VAR</w:t>
      </w:r>
      <w:r w:rsidR="00AA4F44" w:rsidRPr="00B424A1">
        <w:rPr>
          <w:vertAlign w:val="subscript"/>
        </w:rPr>
        <w:t>Depression</w:t>
      </w:r>
      <w:r w:rsidR="00AA4F44" w:rsidRPr="00B424A1">
        <w:t xml:space="preserve"> = 0.9</w:t>
      </w:r>
      <w:r w:rsidR="00DE68D3">
        <w:t>7</w:t>
      </w:r>
      <w:r w:rsidR="00AA4F44" w:rsidRPr="00B424A1">
        <w:t>; VAR</w:t>
      </w:r>
      <w:r w:rsidR="00AA4F44" w:rsidRPr="00B424A1">
        <w:rPr>
          <w:vertAlign w:val="subscript"/>
        </w:rPr>
        <w:t>Anxiety</w:t>
      </w:r>
      <w:r w:rsidR="00AA4F44" w:rsidRPr="00B424A1">
        <w:t xml:space="preserve"> = 0.90; VAR</w:t>
      </w:r>
      <w:r w:rsidR="00AA4F44" w:rsidRPr="00B424A1">
        <w:rPr>
          <w:vertAlign w:val="subscript"/>
        </w:rPr>
        <w:t>Stress</w:t>
      </w:r>
      <w:r w:rsidR="00AA4F44" w:rsidRPr="00B424A1">
        <w:t xml:space="preserve"> = 0.93; VAR &gt; 1.1 desirable for added value of subscales)</w:t>
      </w:r>
      <w:r w:rsidR="002A0615" w:rsidRPr="00B424A1">
        <w:t>.</w:t>
      </w:r>
      <w:r w:rsidR="0050042C" w:rsidRPr="00996F86">
        <w:t xml:space="preserve"> </w:t>
      </w:r>
      <w:r w:rsidR="00102361" w:rsidRPr="00996F86">
        <w:t>We</w:t>
      </w:r>
      <w:r w:rsidR="00102361" w:rsidRPr="00B424A1">
        <w:rPr>
          <w:rFonts w:ascii="Times New Roman" w:eastAsia="Times New Roman" w:hAnsi="Times New Roman" w:cs="Times New Roman"/>
          <w:lang w:eastAsia="en-GB"/>
        </w:rPr>
        <w:t xml:space="preserve"> compared the unidimensional and bifactor models </w:t>
      </w:r>
      <w:r w:rsidR="00102361" w:rsidRPr="00B424A1">
        <w:rPr>
          <w:rFonts w:ascii="Times New Roman" w:eastAsia="Times New Roman" w:hAnsi="Times New Roman" w:cs="Times New Roman"/>
          <w:lang w:eastAsia="en-GB"/>
        </w:rPr>
        <w:lastRenderedPageBreak/>
        <w:t xml:space="preserve">of the DASS21, calculating the </w:t>
      </w:r>
      <w:r w:rsidR="00926CF7">
        <w:rPr>
          <w:rFonts w:ascii="Times New Roman" w:eastAsia="Times New Roman" w:hAnsi="Times New Roman" w:cs="Times New Roman"/>
          <w:lang w:eastAsia="en-GB"/>
        </w:rPr>
        <w:t>average relative parameter bias (ARPB)</w:t>
      </w:r>
      <w:r w:rsidR="00102361" w:rsidRPr="00B424A1">
        <w:rPr>
          <w:rFonts w:ascii="Times New Roman" w:eastAsia="Times New Roman" w:hAnsi="Times New Roman" w:cs="Times New Roman"/>
          <w:lang w:eastAsia="en-GB"/>
        </w:rPr>
        <w:t xml:space="preserve"> to quantify the effect of not modeling the specific factors. </w:t>
      </w:r>
      <w:r w:rsidR="00524D3A" w:rsidRPr="00B424A1">
        <w:rPr>
          <w:rFonts w:ascii="Times New Roman" w:eastAsia="Times New Roman" w:hAnsi="Times New Roman" w:cs="Times New Roman"/>
          <w:lang w:eastAsia="en-GB"/>
        </w:rPr>
        <w:t xml:space="preserve">The </w:t>
      </w:r>
      <w:r w:rsidR="00072CCA" w:rsidRPr="00B424A1">
        <w:rPr>
          <w:rFonts w:ascii="Times New Roman" w:eastAsia="Times New Roman" w:hAnsi="Times New Roman" w:cs="Times New Roman"/>
          <w:lang w:eastAsia="en-GB"/>
        </w:rPr>
        <w:t xml:space="preserve">ARPB </w:t>
      </w:r>
      <w:r w:rsidR="00524D3A" w:rsidRPr="00B424A1">
        <w:rPr>
          <w:rFonts w:ascii="Times New Roman" w:eastAsia="Times New Roman" w:hAnsi="Times New Roman" w:cs="Times New Roman"/>
          <w:lang w:eastAsia="en-GB"/>
        </w:rPr>
        <w:t xml:space="preserve">was </w:t>
      </w:r>
      <w:r w:rsidR="00DC4AD6" w:rsidRPr="00B424A1">
        <w:rPr>
          <w:rFonts w:ascii="Times New Roman" w:eastAsia="Times New Roman" w:hAnsi="Times New Roman" w:cs="Times New Roman"/>
          <w:lang w:eastAsia="en-GB"/>
        </w:rPr>
        <w:t>.</w:t>
      </w:r>
      <w:r w:rsidR="0052552C" w:rsidRPr="00B424A1">
        <w:rPr>
          <w:rFonts w:ascii="Times New Roman" w:eastAsia="Times New Roman" w:hAnsi="Times New Roman" w:cs="Times New Roman"/>
          <w:lang w:eastAsia="en-GB"/>
        </w:rPr>
        <w:t>09</w:t>
      </w:r>
      <w:r w:rsidR="00DF73AD" w:rsidRPr="00B424A1">
        <w:rPr>
          <w:rFonts w:ascii="Times New Roman" w:eastAsia="Times New Roman" w:hAnsi="Times New Roman" w:cs="Times New Roman"/>
          <w:lang w:eastAsia="en-GB"/>
        </w:rPr>
        <w:t>, mean</w:t>
      </w:r>
      <w:r w:rsidR="00DC4AD6" w:rsidRPr="00B424A1">
        <w:rPr>
          <w:rFonts w:ascii="Times New Roman" w:eastAsia="Times New Roman" w:hAnsi="Times New Roman" w:cs="Times New Roman"/>
          <w:lang w:eastAsia="en-GB"/>
        </w:rPr>
        <w:t>ing</w:t>
      </w:r>
      <w:r w:rsidR="0057295F">
        <w:rPr>
          <w:rFonts w:ascii="Times New Roman" w:eastAsia="Times New Roman" w:hAnsi="Times New Roman" w:cs="Times New Roman"/>
          <w:lang w:eastAsia="en-GB"/>
        </w:rPr>
        <w:t xml:space="preserve"> that</w:t>
      </w:r>
      <w:r w:rsidR="00072CCA" w:rsidRPr="00B424A1">
        <w:rPr>
          <w:rFonts w:ascii="Times New Roman" w:eastAsia="Times New Roman" w:hAnsi="Times New Roman" w:cs="Times New Roman"/>
          <w:lang w:eastAsia="en-GB"/>
        </w:rPr>
        <w:t xml:space="preserve"> the </w:t>
      </w:r>
      <w:r w:rsidR="00DF73AD" w:rsidRPr="00B424A1">
        <w:rPr>
          <w:rFonts w:ascii="Times New Roman" w:eastAsia="Times New Roman" w:hAnsi="Times New Roman" w:cs="Times New Roman"/>
          <w:lang w:eastAsia="en-GB"/>
        </w:rPr>
        <w:t xml:space="preserve">loadings on the general factor differed on average by only </w:t>
      </w:r>
      <w:r w:rsidR="004028F4" w:rsidRPr="00B424A1">
        <w:rPr>
          <w:rFonts w:ascii="Times New Roman" w:eastAsia="Times New Roman" w:hAnsi="Times New Roman" w:cs="Times New Roman"/>
          <w:lang w:eastAsia="en-GB"/>
        </w:rPr>
        <w:t>9</w:t>
      </w:r>
      <w:r w:rsidR="0052552C" w:rsidRPr="00B424A1">
        <w:rPr>
          <w:rFonts w:ascii="Times New Roman" w:eastAsia="Times New Roman" w:hAnsi="Times New Roman" w:cs="Times New Roman"/>
          <w:lang w:eastAsia="en-GB"/>
        </w:rPr>
        <w:t>%</w:t>
      </w:r>
      <w:r w:rsidR="00DF73AD" w:rsidRPr="00B424A1">
        <w:rPr>
          <w:rFonts w:ascii="Times New Roman" w:eastAsia="Times New Roman" w:hAnsi="Times New Roman" w:cs="Times New Roman"/>
          <w:lang w:eastAsia="en-GB"/>
        </w:rPr>
        <w:t xml:space="preserve"> between the unidimensional and bifactor models</w:t>
      </w:r>
      <w:r w:rsidR="0057295F">
        <w:rPr>
          <w:rFonts w:ascii="Times New Roman" w:eastAsia="Times New Roman" w:hAnsi="Times New Roman" w:cs="Times New Roman"/>
          <w:lang w:eastAsia="en-GB"/>
        </w:rPr>
        <w:t>, thereby suggesting minimal undue bias towards the unidimensional model</w:t>
      </w:r>
      <w:r w:rsidR="004F1D99" w:rsidRPr="00B424A1">
        <w:rPr>
          <w:rFonts w:ascii="Times New Roman" w:eastAsia="Times New Roman" w:hAnsi="Times New Roman" w:cs="Times New Roman"/>
          <w:lang w:eastAsia="en-GB"/>
        </w:rPr>
        <w:t xml:space="preserve"> (</w:t>
      </w:r>
      <w:r w:rsidR="004F1D99" w:rsidRPr="00B424A1">
        <w:rPr>
          <w:rFonts w:ascii="Times New Roman" w:hAnsi="Times New Roman" w:cs="Times New Roman"/>
        </w:rPr>
        <w:t xml:space="preserve">ARPB &lt; </w:t>
      </w:r>
      <w:r w:rsidR="00DC4AD6" w:rsidRPr="00B424A1">
        <w:rPr>
          <w:rFonts w:ascii="Times New Roman" w:hAnsi="Times New Roman" w:cs="Times New Roman"/>
        </w:rPr>
        <w:t>.10</w:t>
      </w:r>
      <w:r w:rsidR="004F1D99" w:rsidRPr="00B424A1">
        <w:rPr>
          <w:rFonts w:ascii="Times New Roman" w:hAnsi="Times New Roman" w:cs="Times New Roman"/>
        </w:rPr>
        <w:t xml:space="preserve"> </w:t>
      </w:r>
      <w:r w:rsidR="003A02DC" w:rsidRPr="00B424A1">
        <w:rPr>
          <w:rFonts w:ascii="Times New Roman" w:hAnsi="Times New Roman" w:cs="Times New Roman"/>
        </w:rPr>
        <w:t>sufficient</w:t>
      </w:r>
      <w:r w:rsidR="004F1D99" w:rsidRPr="00B424A1">
        <w:rPr>
          <w:rFonts w:ascii="Times New Roman" w:hAnsi="Times New Roman" w:cs="Times New Roman"/>
        </w:rPr>
        <w:t xml:space="preserve"> for unidimensionality)</w:t>
      </w:r>
      <w:r w:rsidR="0061369D" w:rsidRPr="00B424A1">
        <w:rPr>
          <w:rFonts w:ascii="Times New Roman" w:eastAsia="Times New Roman" w:hAnsi="Times New Roman" w:cs="Times New Roman"/>
          <w:lang w:eastAsia="en-GB"/>
        </w:rPr>
        <w:t>.</w:t>
      </w:r>
    </w:p>
    <w:p w14:paraId="309E79FA" w14:textId="4F141774" w:rsidR="00D321F7" w:rsidRPr="00996F86" w:rsidRDefault="00DC4668" w:rsidP="0032281D">
      <w:pPr>
        <w:rPr>
          <w:rFonts w:ascii="Times New Roman" w:hAnsi="Times New Roman"/>
        </w:rPr>
      </w:pPr>
      <w:bookmarkStart w:id="72" w:name="_Hlk134458644"/>
      <w:bookmarkStart w:id="73" w:name="_Hlk134458055"/>
      <w:r w:rsidRPr="00B424A1">
        <w:rPr>
          <w:rFonts w:ascii="Times New Roman" w:eastAsia="Times New Roman" w:hAnsi="Times New Roman" w:cs="Times New Roman"/>
          <w:lang w:eastAsia="en-GB"/>
        </w:rPr>
        <w:t>T</w:t>
      </w:r>
      <w:r w:rsidR="00974178" w:rsidRPr="00B424A1">
        <w:rPr>
          <w:rFonts w:ascii="Times New Roman" w:eastAsia="Times New Roman" w:hAnsi="Times New Roman" w:cs="Times New Roman"/>
          <w:lang w:eastAsia="en-GB"/>
        </w:rPr>
        <w:t>aken together,</w:t>
      </w:r>
      <w:r w:rsidRPr="00B424A1">
        <w:rPr>
          <w:rFonts w:ascii="Times New Roman" w:eastAsia="Times New Roman" w:hAnsi="Times New Roman" w:cs="Times New Roman"/>
          <w:lang w:eastAsia="en-GB"/>
        </w:rPr>
        <w:t xml:space="preserve"> </w:t>
      </w:r>
      <w:r w:rsidR="00974178" w:rsidRPr="00B424A1">
        <w:rPr>
          <w:rFonts w:ascii="Times New Roman" w:eastAsia="Times New Roman" w:hAnsi="Times New Roman" w:cs="Times New Roman"/>
          <w:lang w:eastAsia="en-GB"/>
        </w:rPr>
        <w:t xml:space="preserve">the ECV, PUC and ARPB values </w:t>
      </w:r>
      <w:r w:rsidRPr="00B424A1">
        <w:rPr>
          <w:rFonts w:ascii="Times New Roman" w:eastAsia="Times New Roman" w:hAnsi="Times New Roman" w:cs="Times New Roman"/>
          <w:lang w:eastAsia="en-GB"/>
        </w:rPr>
        <w:t xml:space="preserve">suggest </w:t>
      </w:r>
      <w:r w:rsidR="0047166B" w:rsidRPr="00B424A1">
        <w:rPr>
          <w:rFonts w:ascii="Times New Roman" w:eastAsia="Times New Roman" w:hAnsi="Times New Roman" w:cs="Times New Roman"/>
          <w:lang w:eastAsia="en-GB"/>
        </w:rPr>
        <w:t xml:space="preserve">that </w:t>
      </w:r>
      <w:r w:rsidRPr="00B424A1">
        <w:rPr>
          <w:rFonts w:ascii="Times New Roman" w:eastAsia="Times New Roman" w:hAnsi="Times New Roman" w:cs="Times New Roman"/>
          <w:lang w:eastAsia="en-GB"/>
        </w:rPr>
        <w:t>the DASS21 could be used as a unidimensional measure</w:t>
      </w:r>
      <w:r w:rsidR="00DC6440" w:rsidRPr="00B424A1">
        <w:rPr>
          <w:rFonts w:ascii="Times New Roman" w:eastAsia="Times New Roman" w:hAnsi="Times New Roman" w:cs="Times New Roman"/>
          <w:lang w:eastAsia="en-GB"/>
        </w:rPr>
        <w:t>.</w:t>
      </w:r>
      <w:bookmarkEnd w:id="72"/>
      <w:r w:rsidRPr="00B424A1">
        <w:rPr>
          <w:rFonts w:ascii="Times New Roman" w:eastAsia="Times New Roman" w:hAnsi="Times New Roman" w:cs="Times New Roman"/>
          <w:lang w:eastAsia="en-GB"/>
        </w:rPr>
        <w:t xml:space="preserve"> </w:t>
      </w:r>
      <w:r w:rsidR="0032281D" w:rsidRPr="00B424A1">
        <w:rPr>
          <w:rFonts w:ascii="Times New Roman" w:eastAsia="Times New Roman" w:hAnsi="Times New Roman" w:cs="Times New Roman"/>
          <w:lang w:eastAsia="en-GB"/>
        </w:rPr>
        <w:t xml:space="preserve">Despite </w:t>
      </w:r>
      <w:r w:rsidRPr="00B424A1">
        <w:rPr>
          <w:rFonts w:ascii="Times New Roman" w:eastAsia="Times New Roman" w:hAnsi="Times New Roman" w:cs="Times New Roman"/>
          <w:lang w:eastAsia="en-GB"/>
        </w:rPr>
        <w:t>this</w:t>
      </w:r>
      <w:r w:rsidR="0032281D" w:rsidRPr="00B424A1">
        <w:rPr>
          <w:rFonts w:ascii="Times New Roman" w:eastAsia="Times New Roman" w:hAnsi="Times New Roman" w:cs="Times New Roman"/>
          <w:lang w:eastAsia="en-GB"/>
        </w:rPr>
        <w:t xml:space="preserve">, </w:t>
      </w:r>
      <w:r w:rsidR="0032281D" w:rsidRPr="00B424A1">
        <w:rPr>
          <w:rFonts w:ascii="Times New Roman" w:hAnsi="Times New Roman" w:cs="Times New Roman"/>
        </w:rPr>
        <w:t>the DASS21 unidimensional model had a poor fit (</w:t>
      </w:r>
      <w:r w:rsidR="00AB4889" w:rsidRPr="00B424A1">
        <w:rPr>
          <w:rFonts w:ascii="Times New Roman" w:hAnsi="Times New Roman"/>
        </w:rPr>
        <w:t>Table 5</w:t>
      </w:r>
      <w:r w:rsidR="0032281D" w:rsidRPr="00996F86">
        <w:rPr>
          <w:rFonts w:ascii="Times New Roman" w:hAnsi="Times New Roman"/>
        </w:rPr>
        <w:t>).</w:t>
      </w:r>
      <w:bookmarkEnd w:id="73"/>
      <w:r w:rsidR="0032281D" w:rsidRPr="00996F86">
        <w:rPr>
          <w:rFonts w:ascii="Times New Roman" w:hAnsi="Times New Roman"/>
        </w:rPr>
        <w:t xml:space="preserve"> </w:t>
      </w:r>
      <w:bookmarkStart w:id="74" w:name="_Hlk134458082"/>
      <w:r w:rsidR="0032281D" w:rsidRPr="00996F86">
        <w:rPr>
          <w:rFonts w:ascii="Times New Roman" w:hAnsi="Times New Roman"/>
        </w:rPr>
        <w:t xml:space="preserve">Therefore, there may be some multidimensionality in the DASS21 data structure, but this was not </w:t>
      </w:r>
      <w:r w:rsidR="00796C03">
        <w:rPr>
          <w:rFonts w:ascii="Times New Roman" w:hAnsi="Times New Roman"/>
        </w:rPr>
        <w:t xml:space="preserve">adequately </w:t>
      </w:r>
      <w:r w:rsidR="0032281D" w:rsidRPr="00996F86">
        <w:rPr>
          <w:rFonts w:ascii="Times New Roman" w:hAnsi="Times New Roman"/>
        </w:rPr>
        <w:t xml:space="preserve">captured by the </w:t>
      </w:r>
      <w:r w:rsidR="00AD2EDA" w:rsidRPr="00B424A1">
        <w:rPr>
          <w:rFonts w:ascii="Times New Roman" w:hAnsi="Times New Roman" w:cs="Times New Roman"/>
        </w:rPr>
        <w:t>conventional three-factor scoring</w:t>
      </w:r>
      <w:r w:rsidR="0032281D" w:rsidRPr="00B424A1">
        <w:rPr>
          <w:rFonts w:ascii="Times New Roman" w:hAnsi="Times New Roman" w:cs="Times New Roman"/>
        </w:rPr>
        <w:t>.</w:t>
      </w:r>
      <w:r w:rsidR="0032281D" w:rsidRPr="00996F86">
        <w:rPr>
          <w:rFonts w:ascii="Times New Roman" w:hAnsi="Times New Roman"/>
        </w:rPr>
        <w:t xml:space="preserve"> </w:t>
      </w:r>
      <w:bookmarkEnd w:id="74"/>
      <w:r w:rsidR="0032281D" w:rsidRPr="00B424A1">
        <w:rPr>
          <w:rFonts w:ascii="Times New Roman" w:eastAsia="Times New Roman" w:hAnsi="Times New Roman" w:cs="Times New Roman"/>
          <w:lang w:eastAsia="en-GB"/>
        </w:rPr>
        <w:t xml:space="preserve">We </w:t>
      </w:r>
      <w:r w:rsidR="00E51ACC" w:rsidRPr="00B424A1">
        <w:rPr>
          <w:rFonts w:ascii="Times New Roman" w:eastAsia="Times New Roman" w:hAnsi="Times New Roman" w:cs="Times New Roman"/>
          <w:lang w:eastAsia="en-GB"/>
        </w:rPr>
        <w:t xml:space="preserve">investigated </w:t>
      </w:r>
      <w:r w:rsidR="00D339F5" w:rsidRPr="00B424A1">
        <w:rPr>
          <w:rFonts w:ascii="Times New Roman" w:eastAsia="Times New Roman" w:hAnsi="Times New Roman" w:cs="Times New Roman"/>
          <w:lang w:eastAsia="en-GB"/>
        </w:rPr>
        <w:t>possible sources of multidimensionality</w:t>
      </w:r>
      <w:r w:rsidR="006333A4" w:rsidRPr="00B424A1">
        <w:rPr>
          <w:rFonts w:ascii="Times New Roman" w:eastAsia="Times New Roman" w:hAnsi="Times New Roman" w:cs="Times New Roman"/>
          <w:lang w:eastAsia="en-GB"/>
        </w:rPr>
        <w:t xml:space="preserve"> </w:t>
      </w:r>
      <w:r w:rsidR="00F51F90" w:rsidRPr="00B424A1">
        <w:rPr>
          <w:rFonts w:ascii="Times New Roman" w:eastAsia="Times New Roman" w:hAnsi="Times New Roman" w:cs="Times New Roman"/>
          <w:lang w:eastAsia="en-GB"/>
        </w:rPr>
        <w:t xml:space="preserve">at the level of individual items </w:t>
      </w:r>
      <w:r w:rsidR="00D339F5" w:rsidRPr="00B424A1">
        <w:rPr>
          <w:rFonts w:ascii="Times New Roman" w:eastAsia="Times New Roman" w:hAnsi="Times New Roman" w:cs="Times New Roman"/>
          <w:lang w:eastAsia="en-GB"/>
        </w:rPr>
        <w:t xml:space="preserve">using </w:t>
      </w:r>
      <w:r w:rsidR="00F40057" w:rsidRPr="00B424A1">
        <w:rPr>
          <w:rFonts w:ascii="Times New Roman" w:eastAsia="Times New Roman" w:hAnsi="Times New Roman" w:cs="Times New Roman"/>
          <w:lang w:eastAsia="en-GB"/>
        </w:rPr>
        <w:t>item</w:t>
      </w:r>
      <w:r w:rsidR="006333A4" w:rsidRPr="00B424A1">
        <w:rPr>
          <w:rFonts w:ascii="Times New Roman" w:eastAsia="Times New Roman" w:hAnsi="Times New Roman" w:cs="Times New Roman"/>
          <w:lang w:eastAsia="en-GB"/>
        </w:rPr>
        <w:t>-</w:t>
      </w:r>
      <w:r w:rsidR="00F40057" w:rsidRPr="00B424A1">
        <w:rPr>
          <w:rFonts w:ascii="Times New Roman" w:eastAsia="Times New Roman" w:hAnsi="Times New Roman" w:cs="Times New Roman"/>
          <w:lang w:eastAsia="en-GB"/>
        </w:rPr>
        <w:t xml:space="preserve">level </w:t>
      </w:r>
      <w:r w:rsidR="00DB589B" w:rsidRPr="00B424A1">
        <w:rPr>
          <w:rFonts w:ascii="Times New Roman" w:eastAsia="Times New Roman" w:hAnsi="Times New Roman" w:cs="Times New Roman"/>
          <w:lang w:eastAsia="en-GB"/>
        </w:rPr>
        <w:t xml:space="preserve">explained common variance </w:t>
      </w:r>
      <w:r w:rsidR="00A54AF9" w:rsidRPr="00B424A1">
        <w:rPr>
          <w:rFonts w:ascii="Times New Roman" w:eastAsia="Times New Roman" w:hAnsi="Times New Roman" w:cs="Times New Roman"/>
          <w:lang w:eastAsia="en-GB"/>
        </w:rPr>
        <w:t xml:space="preserve">(I-ECV) </w:t>
      </w:r>
      <w:r w:rsidR="00DB589B" w:rsidRPr="00B424A1">
        <w:rPr>
          <w:rFonts w:ascii="Times New Roman" w:eastAsia="Times New Roman" w:hAnsi="Times New Roman" w:cs="Times New Roman"/>
          <w:lang w:eastAsia="en-GB"/>
        </w:rPr>
        <w:t xml:space="preserve">and </w:t>
      </w:r>
      <w:r w:rsidR="008E46A3" w:rsidRPr="00B424A1">
        <w:rPr>
          <w:rFonts w:ascii="Times New Roman" w:eastAsia="Times New Roman" w:hAnsi="Times New Roman" w:cs="Times New Roman"/>
          <w:lang w:eastAsia="en-GB"/>
        </w:rPr>
        <w:t>relative</w:t>
      </w:r>
      <w:r w:rsidR="00DB589B" w:rsidRPr="00B424A1">
        <w:rPr>
          <w:rFonts w:ascii="Times New Roman" w:eastAsia="Times New Roman" w:hAnsi="Times New Roman" w:cs="Times New Roman"/>
          <w:lang w:eastAsia="en-GB"/>
        </w:rPr>
        <w:t xml:space="preserve"> parameter bias </w:t>
      </w:r>
      <w:r w:rsidR="00A54AF9" w:rsidRPr="00B424A1">
        <w:rPr>
          <w:rFonts w:ascii="Times New Roman" w:eastAsia="Times New Roman" w:hAnsi="Times New Roman" w:cs="Times New Roman"/>
          <w:lang w:eastAsia="en-GB"/>
        </w:rPr>
        <w:t>(RPB</w:t>
      </w:r>
      <w:r w:rsidR="00153A0E" w:rsidRPr="00B424A1">
        <w:rPr>
          <w:rFonts w:ascii="Times New Roman" w:eastAsia="Times New Roman" w:hAnsi="Times New Roman" w:cs="Times New Roman"/>
          <w:lang w:eastAsia="en-GB"/>
        </w:rPr>
        <w:t xml:space="preserve">; </w:t>
      </w:r>
      <w:r w:rsidR="003A532C">
        <w:rPr>
          <w:rFonts w:ascii="Times New Roman" w:eastAsia="Times New Roman" w:hAnsi="Times New Roman" w:cs="Times New Roman"/>
          <w:lang w:eastAsia="en-GB"/>
        </w:rPr>
        <w:t xml:space="preserve">see </w:t>
      </w:r>
      <w:r w:rsidR="00F86512" w:rsidRPr="00B424A1">
        <w:rPr>
          <w:rFonts w:ascii="Times New Roman" w:eastAsia="Times New Roman" w:hAnsi="Times New Roman" w:cs="Times New Roman"/>
          <w:lang w:eastAsia="en-GB"/>
        </w:rPr>
        <w:t>Supplementa</w:t>
      </w:r>
      <w:r w:rsidR="006248A6" w:rsidRPr="00B424A1">
        <w:rPr>
          <w:rFonts w:ascii="Times New Roman" w:eastAsia="Times New Roman" w:hAnsi="Times New Roman" w:cs="Times New Roman"/>
          <w:lang w:eastAsia="en-GB"/>
        </w:rPr>
        <w:t xml:space="preserve">l </w:t>
      </w:r>
      <w:r w:rsidR="003A532C">
        <w:rPr>
          <w:rFonts w:ascii="Times New Roman" w:eastAsia="Times New Roman" w:hAnsi="Times New Roman" w:cs="Times New Roman"/>
          <w:lang w:eastAsia="en-GB"/>
        </w:rPr>
        <w:t>Table S4 for statistics</w:t>
      </w:r>
      <w:r w:rsidR="008E46A3" w:rsidRPr="00B424A1">
        <w:rPr>
          <w:rFonts w:ascii="Times New Roman" w:eastAsia="Times New Roman" w:hAnsi="Times New Roman" w:cs="Times New Roman"/>
          <w:lang w:eastAsia="en-GB"/>
        </w:rPr>
        <w:t>)</w:t>
      </w:r>
      <w:r w:rsidR="005729C6" w:rsidRPr="00B424A1">
        <w:rPr>
          <w:rFonts w:ascii="Times New Roman" w:eastAsia="Times New Roman" w:hAnsi="Times New Roman" w:cs="Times New Roman"/>
          <w:lang w:eastAsia="en-GB"/>
        </w:rPr>
        <w:t xml:space="preserve">. </w:t>
      </w:r>
      <w:r w:rsidR="00357B5B" w:rsidRPr="00B424A1">
        <w:rPr>
          <w:rFonts w:ascii="Times New Roman" w:eastAsia="Times New Roman" w:hAnsi="Times New Roman" w:cs="Times New Roman"/>
          <w:lang w:eastAsia="en-GB"/>
        </w:rPr>
        <w:t>I</w:t>
      </w:r>
      <w:r w:rsidR="002664D2" w:rsidRPr="00B424A1">
        <w:rPr>
          <w:rFonts w:ascii="Times New Roman" w:eastAsia="Times New Roman" w:hAnsi="Times New Roman" w:cs="Times New Roman"/>
          <w:lang w:eastAsia="en-GB"/>
        </w:rPr>
        <w:t xml:space="preserve">tems </w:t>
      </w:r>
      <w:r w:rsidR="00EA0A0E" w:rsidRPr="00B424A1">
        <w:rPr>
          <w:rFonts w:ascii="Times New Roman" w:eastAsia="Times New Roman" w:hAnsi="Times New Roman" w:cs="Times New Roman"/>
          <w:lang w:eastAsia="en-GB"/>
        </w:rPr>
        <w:t xml:space="preserve">found </w:t>
      </w:r>
      <w:r w:rsidR="0052552C" w:rsidRPr="00B424A1">
        <w:rPr>
          <w:rFonts w:ascii="Times New Roman" w:eastAsia="Times New Roman" w:hAnsi="Times New Roman" w:cs="Times New Roman"/>
          <w:lang w:eastAsia="en-GB"/>
        </w:rPr>
        <w:t xml:space="preserve">to have a meaningful association with their </w:t>
      </w:r>
      <w:r w:rsidR="0099353D" w:rsidRPr="00B424A1">
        <w:rPr>
          <w:rFonts w:ascii="Times New Roman" w:eastAsia="Times New Roman" w:hAnsi="Times New Roman" w:cs="Times New Roman"/>
          <w:lang w:eastAsia="en-GB"/>
        </w:rPr>
        <w:t xml:space="preserve">respective </w:t>
      </w:r>
      <w:r w:rsidR="0052552C" w:rsidRPr="00B424A1">
        <w:rPr>
          <w:rFonts w:ascii="Times New Roman" w:eastAsia="Times New Roman" w:hAnsi="Times New Roman" w:cs="Times New Roman"/>
          <w:lang w:eastAsia="en-GB"/>
        </w:rPr>
        <w:t xml:space="preserve">specific factor </w:t>
      </w:r>
      <w:r w:rsidR="0061369D" w:rsidRPr="00996F86">
        <w:rPr>
          <w:rFonts w:ascii="Times New Roman" w:hAnsi="Times New Roman"/>
        </w:rPr>
        <w:t xml:space="preserve">(based on </w:t>
      </w:r>
      <w:r w:rsidR="00FB2C2E" w:rsidRPr="00996F86">
        <w:rPr>
          <w:rFonts w:ascii="Times New Roman" w:hAnsi="Times New Roman"/>
        </w:rPr>
        <w:t xml:space="preserve">ECV </w:t>
      </w:r>
      <w:r w:rsidR="007172FF" w:rsidRPr="00996F86">
        <w:rPr>
          <w:rFonts w:ascii="Times New Roman" w:hAnsi="Times New Roman"/>
        </w:rPr>
        <w:t>&lt;</w:t>
      </w:r>
      <w:r w:rsidR="00DC4AD6" w:rsidRPr="00996F86">
        <w:rPr>
          <w:rFonts w:ascii="Times New Roman" w:hAnsi="Times New Roman"/>
        </w:rPr>
        <w:t xml:space="preserve"> </w:t>
      </w:r>
      <w:r w:rsidR="007172FF" w:rsidRPr="00996F86">
        <w:rPr>
          <w:rFonts w:ascii="Times New Roman" w:hAnsi="Times New Roman"/>
        </w:rPr>
        <w:t xml:space="preserve">85 </w:t>
      </w:r>
      <w:r w:rsidR="00FB2C2E" w:rsidRPr="00996F86">
        <w:rPr>
          <w:rFonts w:ascii="Times New Roman" w:hAnsi="Times New Roman"/>
        </w:rPr>
        <w:t xml:space="preserve">and </w:t>
      </w:r>
      <w:r w:rsidR="0061369D" w:rsidRPr="00996F86">
        <w:rPr>
          <w:rFonts w:ascii="Times New Roman" w:hAnsi="Times New Roman"/>
        </w:rPr>
        <w:t>RPB</w:t>
      </w:r>
      <w:r w:rsidR="00642697" w:rsidRPr="00996F86">
        <w:rPr>
          <w:rFonts w:ascii="Times New Roman" w:hAnsi="Times New Roman" w:hint="eastAsia"/>
        </w:rPr>
        <w:t xml:space="preserve"> </w:t>
      </w:r>
      <w:r w:rsidR="00796C03">
        <w:rPr>
          <w:rFonts w:ascii="Times New Roman" w:hAnsi="Times New Roman" w:cs="Times New Roman"/>
        </w:rPr>
        <w:t>≥</w:t>
      </w:r>
      <m:oMath>
        <m:r>
          <w:rPr>
            <w:rFonts w:ascii="Cambria Math" w:hAnsi="Cambria Math"/>
          </w:rPr>
          <m:t xml:space="preserve"> </m:t>
        </m:r>
      </m:oMath>
      <w:r w:rsidR="00DC4AD6" w:rsidRPr="00996F86">
        <w:rPr>
          <w:rFonts w:ascii="Times New Roman" w:hAnsi="Times New Roman"/>
        </w:rPr>
        <w:t>.10</w:t>
      </w:r>
      <w:r w:rsidR="0061369D" w:rsidRPr="00996F86">
        <w:rPr>
          <w:rFonts w:ascii="Times New Roman" w:hAnsi="Times New Roman"/>
        </w:rPr>
        <w:t xml:space="preserve">) </w:t>
      </w:r>
      <w:r w:rsidR="00FA33C1" w:rsidRPr="00996F86">
        <w:rPr>
          <w:rFonts w:ascii="Times New Roman" w:hAnsi="Times New Roman"/>
        </w:rPr>
        <w:t xml:space="preserve">in the </w:t>
      </w:r>
      <w:r w:rsidR="00080556" w:rsidRPr="00996F86">
        <w:rPr>
          <w:rFonts w:ascii="Times New Roman" w:hAnsi="Times New Roman"/>
        </w:rPr>
        <w:t>DASS21</w:t>
      </w:r>
      <w:r w:rsidR="00FA33C1" w:rsidRPr="00996F86">
        <w:rPr>
          <w:rFonts w:ascii="Times New Roman" w:hAnsi="Times New Roman"/>
        </w:rPr>
        <w:t xml:space="preserve"> </w:t>
      </w:r>
      <w:r w:rsidR="00153A0E" w:rsidRPr="00996F86">
        <w:rPr>
          <w:rFonts w:ascii="Times New Roman" w:hAnsi="Times New Roman"/>
        </w:rPr>
        <w:t>were</w:t>
      </w:r>
      <w:r w:rsidR="00CD0A27" w:rsidRPr="00996F86">
        <w:rPr>
          <w:rFonts w:ascii="Times New Roman" w:hAnsi="Times New Roman"/>
        </w:rPr>
        <w:t>:</w:t>
      </w:r>
      <w:r w:rsidR="00043F5F" w:rsidRPr="00996F86">
        <w:rPr>
          <w:rFonts w:ascii="Times New Roman" w:hAnsi="Times New Roman"/>
        </w:rPr>
        <w:t xml:space="preserve"> </w:t>
      </w:r>
      <w:r w:rsidR="000D2575" w:rsidRPr="00996F86">
        <w:rPr>
          <w:rFonts w:ascii="Times New Roman" w:hAnsi="Times New Roman"/>
        </w:rPr>
        <w:t>3</w:t>
      </w:r>
      <w:r w:rsidR="00537F23" w:rsidRPr="00996F86">
        <w:rPr>
          <w:rFonts w:ascii="Times New Roman" w:hAnsi="Times New Roman"/>
          <w:i/>
        </w:rPr>
        <w:t xml:space="preserve"> </w:t>
      </w:r>
      <w:r w:rsidR="00537F23" w:rsidRPr="00996F86">
        <w:rPr>
          <w:rFonts w:ascii="Times New Roman" w:hAnsi="Times New Roman"/>
        </w:rPr>
        <w:t>(</w:t>
      </w:r>
      <w:r w:rsidR="00FC0D26" w:rsidRPr="00996F86">
        <w:rPr>
          <w:rFonts w:ascii="Times New Roman" w:hAnsi="Times New Roman"/>
        </w:rPr>
        <w:t>no positive feeling</w:t>
      </w:r>
      <w:r w:rsidR="00537F23" w:rsidRPr="00996F86">
        <w:rPr>
          <w:rFonts w:ascii="Times New Roman" w:hAnsi="Times New Roman"/>
        </w:rPr>
        <w:t>)</w:t>
      </w:r>
      <w:r w:rsidR="000D2575" w:rsidRPr="00996F86">
        <w:rPr>
          <w:rFonts w:ascii="Times New Roman" w:hAnsi="Times New Roman"/>
        </w:rPr>
        <w:t>,</w:t>
      </w:r>
      <w:r w:rsidR="003D279D" w:rsidRPr="00996F86">
        <w:rPr>
          <w:rFonts w:ascii="Times New Roman" w:hAnsi="Times New Roman"/>
        </w:rPr>
        <w:t xml:space="preserve"> </w:t>
      </w:r>
      <w:r w:rsidR="000D2575" w:rsidRPr="00996F86">
        <w:rPr>
          <w:rFonts w:ascii="Times New Roman" w:hAnsi="Times New Roman"/>
        </w:rPr>
        <w:t>10</w:t>
      </w:r>
      <w:r w:rsidR="00537F23" w:rsidRPr="00996F86">
        <w:rPr>
          <w:rFonts w:ascii="Times New Roman" w:hAnsi="Times New Roman"/>
        </w:rPr>
        <w:t xml:space="preserve"> (nothing to look forward to), </w:t>
      </w:r>
      <w:r w:rsidR="62DB0E35" w:rsidRPr="00996F86">
        <w:rPr>
          <w:rFonts w:ascii="Times New Roman" w:hAnsi="Times New Roman"/>
        </w:rPr>
        <w:t xml:space="preserve">13 </w:t>
      </w:r>
      <w:r w:rsidR="005E7056" w:rsidRPr="00996F86">
        <w:rPr>
          <w:rFonts w:ascii="Times New Roman" w:hAnsi="Times New Roman"/>
        </w:rPr>
        <w:t>(down-hearted and blue</w:t>
      </w:r>
      <w:r w:rsidR="62DB0E35" w:rsidRPr="00996F86">
        <w:rPr>
          <w:rFonts w:ascii="Times New Roman" w:hAnsi="Times New Roman"/>
        </w:rPr>
        <w:t>),</w:t>
      </w:r>
      <w:r w:rsidR="000D2575" w:rsidRPr="00996F86">
        <w:rPr>
          <w:rFonts w:ascii="Times New Roman" w:hAnsi="Times New Roman"/>
        </w:rPr>
        <w:t xml:space="preserve"> </w:t>
      </w:r>
      <w:r w:rsidR="00043F5F" w:rsidRPr="00996F86">
        <w:rPr>
          <w:rFonts w:ascii="Times New Roman" w:hAnsi="Times New Roman"/>
        </w:rPr>
        <w:t>16</w:t>
      </w:r>
      <w:r w:rsidR="003E5244" w:rsidRPr="00996F86">
        <w:rPr>
          <w:rFonts w:ascii="Times New Roman" w:hAnsi="Times New Roman"/>
        </w:rPr>
        <w:t xml:space="preserve"> </w:t>
      </w:r>
      <w:r w:rsidR="00537F23" w:rsidRPr="00996F86">
        <w:rPr>
          <w:rFonts w:ascii="Times New Roman" w:hAnsi="Times New Roman"/>
        </w:rPr>
        <w:t>(</w:t>
      </w:r>
      <w:r w:rsidR="005E7056" w:rsidRPr="00996F86">
        <w:rPr>
          <w:rFonts w:ascii="Times New Roman" w:hAnsi="Times New Roman"/>
        </w:rPr>
        <w:t>unable to be enthusiastic</w:t>
      </w:r>
      <w:r w:rsidR="00537F23" w:rsidRPr="00996F86">
        <w:rPr>
          <w:rFonts w:ascii="Times New Roman" w:hAnsi="Times New Roman"/>
        </w:rPr>
        <w:t>)</w:t>
      </w:r>
      <w:r w:rsidR="000D2575" w:rsidRPr="00996F86">
        <w:rPr>
          <w:rFonts w:ascii="Times New Roman" w:hAnsi="Times New Roman"/>
        </w:rPr>
        <w:t>, 17</w:t>
      </w:r>
      <w:r w:rsidR="00043F5F" w:rsidRPr="00996F86">
        <w:rPr>
          <w:rFonts w:ascii="Times New Roman" w:hAnsi="Times New Roman"/>
        </w:rPr>
        <w:t xml:space="preserve"> (</w:t>
      </w:r>
      <w:r w:rsidR="00FC0D26" w:rsidRPr="00996F86">
        <w:rPr>
          <w:rFonts w:ascii="Times New Roman" w:hAnsi="Times New Roman"/>
        </w:rPr>
        <w:t>not worth much as a person</w:t>
      </w:r>
      <w:r w:rsidR="005F0AA9" w:rsidRPr="00996F86">
        <w:rPr>
          <w:rFonts w:ascii="Times New Roman" w:hAnsi="Times New Roman"/>
        </w:rPr>
        <w:t>)</w:t>
      </w:r>
      <w:r w:rsidR="00043F5F" w:rsidRPr="00996F86">
        <w:rPr>
          <w:rFonts w:ascii="Times New Roman" w:hAnsi="Times New Roman"/>
        </w:rPr>
        <w:t xml:space="preserve"> </w:t>
      </w:r>
      <w:r w:rsidR="12FDC4E8" w:rsidRPr="00996F86">
        <w:rPr>
          <w:rFonts w:ascii="Times New Roman" w:hAnsi="Times New Roman"/>
        </w:rPr>
        <w:t xml:space="preserve">18 </w:t>
      </w:r>
      <w:r w:rsidR="00537F23" w:rsidRPr="00996F86">
        <w:rPr>
          <w:rFonts w:ascii="Times New Roman" w:hAnsi="Times New Roman"/>
        </w:rPr>
        <w:t>(</w:t>
      </w:r>
      <w:r w:rsidR="00FC0D26" w:rsidRPr="00996F86">
        <w:rPr>
          <w:rFonts w:ascii="Times New Roman" w:hAnsi="Times New Roman"/>
        </w:rPr>
        <w:t xml:space="preserve">rather </w:t>
      </w:r>
      <w:r w:rsidR="00537F23" w:rsidRPr="00996F86">
        <w:rPr>
          <w:rFonts w:ascii="Times New Roman" w:hAnsi="Times New Roman"/>
        </w:rPr>
        <w:t xml:space="preserve">touchy) </w:t>
      </w:r>
      <w:r w:rsidR="00043F5F" w:rsidRPr="00996F86">
        <w:rPr>
          <w:rFonts w:ascii="Times New Roman" w:hAnsi="Times New Roman"/>
        </w:rPr>
        <w:t>and 21 (</w:t>
      </w:r>
      <w:r w:rsidR="005E7056" w:rsidRPr="00996F86">
        <w:rPr>
          <w:rFonts w:ascii="Times New Roman" w:hAnsi="Times New Roman"/>
        </w:rPr>
        <w:t>life was meaningless</w:t>
      </w:r>
      <w:r w:rsidR="00043F5F" w:rsidRPr="00996F86">
        <w:rPr>
          <w:rFonts w:ascii="Times New Roman" w:hAnsi="Times New Roman"/>
        </w:rPr>
        <w:t>)</w:t>
      </w:r>
      <w:r w:rsidR="002664D2" w:rsidRPr="00996F86">
        <w:rPr>
          <w:rFonts w:ascii="Times New Roman" w:hAnsi="Times New Roman"/>
        </w:rPr>
        <w:t xml:space="preserve">. </w:t>
      </w:r>
      <w:r w:rsidR="00451FC8" w:rsidRPr="00996F86">
        <w:rPr>
          <w:rFonts w:ascii="Times New Roman" w:hAnsi="Times New Roman"/>
        </w:rPr>
        <w:t>Items 3, 10, 13, 16, 17</w:t>
      </w:r>
      <w:r w:rsidR="006B44E3" w:rsidRPr="00996F86">
        <w:rPr>
          <w:rFonts w:ascii="Times New Roman" w:hAnsi="Times New Roman"/>
        </w:rPr>
        <w:t>,</w:t>
      </w:r>
      <w:r w:rsidR="00451FC8" w:rsidRPr="00996F86">
        <w:rPr>
          <w:rFonts w:ascii="Times New Roman" w:hAnsi="Times New Roman"/>
        </w:rPr>
        <w:t xml:space="preserve"> and 21 </w:t>
      </w:r>
      <w:r w:rsidR="00D848AA" w:rsidRPr="00996F86">
        <w:rPr>
          <w:rFonts w:ascii="Times New Roman" w:hAnsi="Times New Roman"/>
        </w:rPr>
        <w:t>belong to the</w:t>
      </w:r>
      <w:r w:rsidR="00DC4AD6" w:rsidRPr="00996F86">
        <w:rPr>
          <w:rFonts w:ascii="Times New Roman" w:hAnsi="Times New Roman"/>
        </w:rPr>
        <w:t xml:space="preserve"> </w:t>
      </w:r>
      <w:r w:rsidR="00101670" w:rsidRPr="00996F86">
        <w:rPr>
          <w:rFonts w:ascii="Times New Roman" w:hAnsi="Times New Roman"/>
        </w:rPr>
        <w:t>depression scale</w:t>
      </w:r>
      <w:r w:rsidR="00451FC8" w:rsidRPr="00996F86">
        <w:rPr>
          <w:rFonts w:ascii="Times New Roman" w:hAnsi="Times New Roman"/>
        </w:rPr>
        <w:t xml:space="preserve"> </w:t>
      </w:r>
      <w:r w:rsidR="00D848AA" w:rsidRPr="00996F86">
        <w:rPr>
          <w:rFonts w:ascii="Times New Roman" w:hAnsi="Times New Roman"/>
        </w:rPr>
        <w:t xml:space="preserve">and relate </w:t>
      </w:r>
      <w:r w:rsidR="00DC4AD6" w:rsidRPr="00996F86">
        <w:rPr>
          <w:rFonts w:ascii="Times New Roman" w:hAnsi="Times New Roman"/>
        </w:rPr>
        <w:t xml:space="preserve">to </w:t>
      </w:r>
      <w:r w:rsidR="00380AE4" w:rsidRPr="00996F86">
        <w:rPr>
          <w:rFonts w:ascii="Times New Roman" w:hAnsi="Times New Roman"/>
        </w:rPr>
        <w:t xml:space="preserve">a broad range of depressive </w:t>
      </w:r>
      <w:bookmarkStart w:id="75" w:name="_Hlk121483320"/>
      <w:r w:rsidR="00380AE4" w:rsidRPr="00996F86">
        <w:rPr>
          <w:rFonts w:ascii="Times New Roman" w:hAnsi="Times New Roman"/>
        </w:rPr>
        <w:t>symptomatology</w:t>
      </w:r>
      <w:r w:rsidR="00DC4AD6" w:rsidRPr="00996F86">
        <w:rPr>
          <w:rFonts w:ascii="Times New Roman" w:hAnsi="Times New Roman"/>
        </w:rPr>
        <w:t xml:space="preserve"> such</w:t>
      </w:r>
      <w:r w:rsidR="00451FC8" w:rsidRPr="00996F86">
        <w:rPr>
          <w:rFonts w:ascii="Times New Roman" w:hAnsi="Times New Roman"/>
        </w:rPr>
        <w:t xml:space="preserve"> </w:t>
      </w:r>
      <w:r w:rsidR="00DC4AD6" w:rsidRPr="00996F86">
        <w:rPr>
          <w:rFonts w:ascii="Times New Roman" w:hAnsi="Times New Roman"/>
        </w:rPr>
        <w:t>as</w:t>
      </w:r>
      <w:r w:rsidR="00A22D26" w:rsidRPr="00996F86">
        <w:rPr>
          <w:rFonts w:ascii="Times New Roman" w:hAnsi="Times New Roman"/>
        </w:rPr>
        <w:t xml:space="preserve"> anhedonia, </w:t>
      </w:r>
      <w:r w:rsidR="00380AE4" w:rsidRPr="00996F86">
        <w:rPr>
          <w:rFonts w:ascii="Times New Roman" w:hAnsi="Times New Roman"/>
        </w:rPr>
        <w:t xml:space="preserve">hopelessness, dysphoria, </w:t>
      </w:r>
      <w:r w:rsidR="00A22D26" w:rsidRPr="00996F86">
        <w:rPr>
          <w:rFonts w:ascii="Times New Roman" w:hAnsi="Times New Roman"/>
        </w:rPr>
        <w:t>lack of interest</w:t>
      </w:r>
      <w:r w:rsidR="00380AE4" w:rsidRPr="00996F86">
        <w:rPr>
          <w:rFonts w:ascii="Times New Roman" w:hAnsi="Times New Roman"/>
        </w:rPr>
        <w:t>/involvement</w:t>
      </w:r>
      <w:r w:rsidR="00A22D26" w:rsidRPr="00996F86">
        <w:rPr>
          <w:rFonts w:ascii="Times New Roman" w:hAnsi="Times New Roman"/>
        </w:rPr>
        <w:t xml:space="preserve">, self-deprecation, </w:t>
      </w:r>
      <w:r w:rsidR="00380AE4" w:rsidRPr="00996F86">
        <w:rPr>
          <w:rFonts w:ascii="Times New Roman" w:hAnsi="Times New Roman"/>
        </w:rPr>
        <w:t>a</w:t>
      </w:r>
      <w:r w:rsidR="00A22D26" w:rsidRPr="00996F86">
        <w:rPr>
          <w:rFonts w:ascii="Times New Roman" w:hAnsi="Times New Roman"/>
        </w:rPr>
        <w:t>nd devaluation of life</w:t>
      </w:r>
      <w:r w:rsidR="00380AE4" w:rsidRPr="00996F86">
        <w:rPr>
          <w:rFonts w:ascii="Times New Roman" w:hAnsi="Times New Roman"/>
        </w:rPr>
        <w:t xml:space="preserve">. </w:t>
      </w:r>
      <w:bookmarkEnd w:id="75"/>
      <w:r w:rsidR="00380AE4" w:rsidRPr="00996F86">
        <w:rPr>
          <w:rFonts w:ascii="Times New Roman" w:hAnsi="Times New Roman"/>
        </w:rPr>
        <w:t>I</w:t>
      </w:r>
      <w:r w:rsidR="00B23BB4" w:rsidRPr="00996F86">
        <w:rPr>
          <w:rFonts w:ascii="Times New Roman" w:hAnsi="Times New Roman"/>
        </w:rPr>
        <w:t xml:space="preserve">tem </w:t>
      </w:r>
      <w:r w:rsidR="002F24C5" w:rsidRPr="00996F86">
        <w:rPr>
          <w:rFonts w:ascii="Times New Roman" w:hAnsi="Times New Roman"/>
        </w:rPr>
        <w:t>1</w:t>
      </w:r>
      <w:r w:rsidR="2110B269" w:rsidRPr="00996F86">
        <w:rPr>
          <w:rFonts w:ascii="Times New Roman" w:hAnsi="Times New Roman"/>
        </w:rPr>
        <w:t xml:space="preserve">8 </w:t>
      </w:r>
      <w:r w:rsidR="00EB5B96" w:rsidRPr="00996F86">
        <w:rPr>
          <w:rFonts w:ascii="Times New Roman" w:hAnsi="Times New Roman"/>
        </w:rPr>
        <w:t>is part of the</w:t>
      </w:r>
      <w:r w:rsidR="00DC4AD6" w:rsidRPr="00996F86">
        <w:rPr>
          <w:rFonts w:ascii="Times New Roman" w:hAnsi="Times New Roman"/>
        </w:rPr>
        <w:t xml:space="preserve"> stress scale</w:t>
      </w:r>
      <w:r w:rsidR="0099353D" w:rsidRPr="00996F86">
        <w:rPr>
          <w:rFonts w:ascii="Times New Roman" w:hAnsi="Times New Roman"/>
        </w:rPr>
        <w:t xml:space="preserve"> </w:t>
      </w:r>
      <w:r w:rsidR="00380AE4" w:rsidRPr="00996F86">
        <w:rPr>
          <w:rFonts w:ascii="Times New Roman" w:hAnsi="Times New Roman"/>
        </w:rPr>
        <w:t>an</w:t>
      </w:r>
      <w:r w:rsidR="00D848AA" w:rsidRPr="00996F86">
        <w:rPr>
          <w:rFonts w:ascii="Times New Roman" w:hAnsi="Times New Roman"/>
        </w:rPr>
        <w:t>d is intended to reflect</w:t>
      </w:r>
      <w:r w:rsidR="0099353D" w:rsidRPr="00996F86">
        <w:rPr>
          <w:rFonts w:ascii="Times New Roman" w:hAnsi="Times New Roman"/>
        </w:rPr>
        <w:t xml:space="preserve"> irritability/over-reactivity</w:t>
      </w:r>
      <w:r w:rsidR="00D848AA" w:rsidRPr="00996F86">
        <w:rPr>
          <w:rFonts w:ascii="Times New Roman" w:hAnsi="Times New Roman"/>
        </w:rPr>
        <w:t xml:space="preserve"> (Lovibond &amp; Lovibond, 1995b)</w:t>
      </w:r>
      <w:r w:rsidR="0099353D" w:rsidRPr="00996F86">
        <w:rPr>
          <w:rFonts w:ascii="Times New Roman" w:hAnsi="Times New Roman"/>
        </w:rPr>
        <w:t>.</w:t>
      </w:r>
      <w:r w:rsidR="00420D5D" w:rsidRPr="00B424A1">
        <w:rPr>
          <w:rFonts w:ascii="Times New Roman" w:eastAsia="Times New Roman" w:hAnsi="Times New Roman" w:cs="Times New Roman"/>
          <w:lang w:eastAsia="en-GB"/>
        </w:rPr>
        <w:t xml:space="preserve"> </w:t>
      </w:r>
    </w:p>
    <w:p w14:paraId="28A508E2" w14:textId="1CE885E8" w:rsidR="00EB2FCA" w:rsidRPr="00B424A1" w:rsidRDefault="00080556" w:rsidP="00EB2FCA">
      <w:pPr>
        <w:pStyle w:val="Heading2"/>
        <w:rPr>
          <w:lang w:eastAsia="en-GB"/>
        </w:rPr>
      </w:pPr>
      <w:bookmarkStart w:id="76" w:name="_Toc85182146"/>
      <w:bookmarkStart w:id="77" w:name="_Toc85399189"/>
      <w:bookmarkStart w:id="78" w:name="_Toc85455469"/>
      <w:bookmarkStart w:id="79" w:name="_Toc85455662"/>
      <w:bookmarkStart w:id="80" w:name="_Toc85456062"/>
      <w:bookmarkStart w:id="81" w:name="_Toc85456351"/>
      <w:bookmarkStart w:id="82" w:name="_Toc85456487"/>
      <w:bookmarkStart w:id="83" w:name="_Toc86046798"/>
      <w:bookmarkStart w:id="84" w:name="_Toc86047039"/>
      <w:bookmarkStart w:id="85" w:name="_Toc86047166"/>
      <w:bookmarkStart w:id="86" w:name="_Toc86047222"/>
      <w:r w:rsidRPr="00B424A1">
        <w:t>DASS42</w:t>
      </w:r>
      <w:r w:rsidR="00EB2FCA" w:rsidRPr="00B424A1">
        <w:t xml:space="preserve"> </w:t>
      </w:r>
      <w:bookmarkEnd w:id="76"/>
      <w:bookmarkEnd w:id="77"/>
      <w:bookmarkEnd w:id="78"/>
      <w:bookmarkEnd w:id="79"/>
      <w:bookmarkEnd w:id="80"/>
      <w:bookmarkEnd w:id="81"/>
      <w:bookmarkEnd w:id="82"/>
      <w:bookmarkEnd w:id="83"/>
      <w:bookmarkEnd w:id="84"/>
      <w:bookmarkEnd w:id="85"/>
      <w:bookmarkEnd w:id="86"/>
      <w:r w:rsidR="00780376" w:rsidRPr="00B424A1">
        <w:t>Results</w:t>
      </w:r>
    </w:p>
    <w:p w14:paraId="39C40978" w14:textId="3C058DC4" w:rsidR="00F163A7" w:rsidRPr="004452E8" w:rsidRDefault="002664D2" w:rsidP="004452E8">
      <w:pPr>
        <w:rPr>
          <w:rFonts w:ascii="Times New Roman" w:hAnsi="Times New Roman"/>
        </w:rPr>
      </w:pPr>
      <w:r w:rsidRPr="004452E8">
        <w:rPr>
          <w:rFonts w:ascii="Times New Roman" w:hAnsi="Times New Roman"/>
        </w:rPr>
        <w:t xml:space="preserve">We repeated the above analyses with the </w:t>
      </w:r>
      <w:r w:rsidR="00080556" w:rsidRPr="004452E8">
        <w:rPr>
          <w:rFonts w:ascii="Times New Roman" w:hAnsi="Times New Roman"/>
        </w:rPr>
        <w:t>DASS42</w:t>
      </w:r>
      <w:r w:rsidR="003A6C8F" w:rsidRPr="004452E8">
        <w:rPr>
          <w:rFonts w:ascii="Times New Roman" w:hAnsi="Times New Roman"/>
        </w:rPr>
        <w:t xml:space="preserve">. </w:t>
      </w:r>
      <w:r w:rsidRPr="004452E8">
        <w:rPr>
          <w:rFonts w:ascii="Times New Roman" w:hAnsi="Times New Roman"/>
        </w:rPr>
        <w:t>A detailed account of the results can be found i</w:t>
      </w:r>
      <w:r w:rsidR="00F325C7" w:rsidRPr="004452E8">
        <w:rPr>
          <w:rFonts w:ascii="Times New Roman" w:hAnsi="Times New Roman"/>
        </w:rPr>
        <w:t xml:space="preserve">n </w:t>
      </w:r>
      <w:r w:rsidR="00427B8B" w:rsidRPr="004452E8">
        <w:rPr>
          <w:rFonts w:ascii="Times New Roman" w:hAnsi="Times New Roman"/>
        </w:rPr>
        <w:t>Supplementa</w:t>
      </w:r>
      <w:r w:rsidR="006248A6" w:rsidRPr="004452E8">
        <w:rPr>
          <w:rFonts w:ascii="Times New Roman" w:hAnsi="Times New Roman"/>
        </w:rPr>
        <w:t>l</w:t>
      </w:r>
      <w:r w:rsidR="00427B8B" w:rsidRPr="004452E8">
        <w:rPr>
          <w:rFonts w:ascii="Times New Roman" w:hAnsi="Times New Roman"/>
        </w:rPr>
        <w:t xml:space="preserve"> </w:t>
      </w:r>
      <w:r w:rsidR="009F62AB" w:rsidRPr="004452E8">
        <w:rPr>
          <w:rFonts w:ascii="Times New Roman" w:hAnsi="Times New Roman"/>
        </w:rPr>
        <w:t>Appendix</w:t>
      </w:r>
      <w:r w:rsidR="00427B8B" w:rsidRPr="004452E8">
        <w:rPr>
          <w:rFonts w:ascii="Times New Roman" w:hAnsi="Times New Roman"/>
        </w:rPr>
        <w:t xml:space="preserve"> </w:t>
      </w:r>
      <w:r w:rsidR="003A532C" w:rsidRPr="004452E8">
        <w:rPr>
          <w:rFonts w:ascii="Times New Roman" w:hAnsi="Times New Roman" w:cs="Times New Roman"/>
        </w:rPr>
        <w:t>2</w:t>
      </w:r>
      <w:r w:rsidR="00820F18" w:rsidRPr="004452E8">
        <w:rPr>
          <w:rFonts w:ascii="Times New Roman" w:hAnsi="Times New Roman" w:cs="Times New Roman"/>
        </w:rPr>
        <w:t>, including Supplemental Tables S6–S10</w:t>
      </w:r>
      <w:r w:rsidR="00EA1D2E" w:rsidRPr="004452E8">
        <w:rPr>
          <w:rFonts w:ascii="Times New Roman" w:hAnsi="Times New Roman"/>
        </w:rPr>
        <w:t xml:space="preserve">. </w:t>
      </w:r>
      <w:r w:rsidRPr="004452E8">
        <w:rPr>
          <w:rFonts w:ascii="Times New Roman" w:hAnsi="Times New Roman"/>
        </w:rPr>
        <w:t xml:space="preserve">Briefly, </w:t>
      </w:r>
      <w:r w:rsidR="00467371" w:rsidRPr="004452E8">
        <w:rPr>
          <w:rFonts w:ascii="Times New Roman" w:hAnsi="Times New Roman"/>
        </w:rPr>
        <w:t>the results were the same</w:t>
      </w:r>
      <w:r w:rsidRPr="004452E8">
        <w:rPr>
          <w:rFonts w:ascii="Times New Roman" w:hAnsi="Times New Roman"/>
        </w:rPr>
        <w:t xml:space="preserve">. </w:t>
      </w:r>
      <w:r w:rsidR="00926CF7">
        <w:rPr>
          <w:rFonts w:ascii="Times New Roman" w:hAnsi="Times New Roman"/>
        </w:rPr>
        <w:t>Within the bifactor model, t</w:t>
      </w:r>
      <w:r w:rsidR="00A3641C" w:rsidRPr="004452E8">
        <w:rPr>
          <w:rFonts w:ascii="Times New Roman" w:hAnsi="Times New Roman"/>
        </w:rPr>
        <w:t>here was a dominant general distress factor</w:t>
      </w:r>
      <w:r w:rsidRPr="004452E8">
        <w:rPr>
          <w:rFonts w:ascii="Times New Roman" w:hAnsi="Times New Roman"/>
        </w:rPr>
        <w:t xml:space="preserve"> </w:t>
      </w:r>
      <w:r w:rsidR="00201F9B" w:rsidRPr="004452E8">
        <w:rPr>
          <w:rFonts w:ascii="Times New Roman" w:hAnsi="Times New Roman"/>
        </w:rPr>
        <w:t>(</w:t>
      </w:r>
      <w:r w:rsidR="00642697" w:rsidRPr="004452E8">
        <w:rPr>
          <w:rFonts w:ascii="Times New Roman" w:eastAsia="Times New Roman" w:hAnsi="Times New Roman" w:cs="Times New Roman"/>
          <w:lang w:eastAsia="en-GB"/>
        </w:rPr>
        <w:t>ω</w:t>
      </w:r>
      <w:r w:rsidR="00765830" w:rsidRPr="004452E8">
        <w:rPr>
          <w:rFonts w:ascii="Times New Roman" w:hAnsi="Times New Roman" w:cs="Times New Roman"/>
          <w:i/>
          <w:iCs/>
          <w:position w:val="-2"/>
          <w:vertAlign w:val="subscript"/>
          <w:lang w:eastAsia="en-GB"/>
        </w:rPr>
        <w:t>h</w:t>
      </w:r>
      <w:r w:rsidR="00765830" w:rsidRPr="004452E8">
        <w:rPr>
          <w:rFonts w:ascii="Times New Roman" w:eastAsia="Times New Roman" w:hAnsi="Times New Roman" w:cs="Times New Roman"/>
          <w:lang w:eastAsia="en-GB"/>
        </w:rPr>
        <w:t xml:space="preserve"> = .</w:t>
      </w:r>
      <w:r w:rsidR="00473AD0" w:rsidRPr="004452E8">
        <w:rPr>
          <w:rFonts w:ascii="Times New Roman" w:eastAsia="Times New Roman" w:hAnsi="Times New Roman" w:cs="Times New Roman"/>
          <w:lang w:eastAsia="en-GB"/>
        </w:rPr>
        <w:t>9</w:t>
      </w:r>
      <w:r w:rsidR="004F2E4B" w:rsidRPr="004452E8">
        <w:rPr>
          <w:rFonts w:ascii="Times New Roman" w:eastAsia="Times New Roman" w:hAnsi="Times New Roman" w:cs="Times New Roman"/>
          <w:lang w:eastAsia="en-GB"/>
        </w:rPr>
        <w:t>0</w:t>
      </w:r>
      <w:r w:rsidR="00201F9B" w:rsidRPr="004452E8">
        <w:rPr>
          <w:rFonts w:ascii="Times New Roman" w:hAnsi="Times New Roman"/>
        </w:rPr>
        <w:t>)</w:t>
      </w:r>
      <w:r w:rsidR="008769AB" w:rsidRPr="004452E8">
        <w:rPr>
          <w:rFonts w:ascii="Times New Roman" w:hAnsi="Times New Roman"/>
        </w:rPr>
        <w:t>,</w:t>
      </w:r>
      <w:r w:rsidR="00201F9B" w:rsidRPr="004452E8">
        <w:rPr>
          <w:rFonts w:ascii="Times New Roman" w:hAnsi="Times New Roman"/>
        </w:rPr>
        <w:t xml:space="preserve"> </w:t>
      </w:r>
      <w:r w:rsidRPr="004452E8">
        <w:rPr>
          <w:rFonts w:ascii="Times New Roman" w:hAnsi="Times New Roman"/>
        </w:rPr>
        <w:t>whil</w:t>
      </w:r>
      <w:r w:rsidR="008769AB" w:rsidRPr="004452E8">
        <w:rPr>
          <w:rFonts w:ascii="Times New Roman" w:hAnsi="Times New Roman"/>
        </w:rPr>
        <w:t>e</w:t>
      </w:r>
      <w:r w:rsidRPr="004452E8">
        <w:rPr>
          <w:rFonts w:ascii="Times New Roman" w:hAnsi="Times New Roman"/>
        </w:rPr>
        <w:t xml:space="preserve"> the specific factors </w:t>
      </w:r>
      <w:r w:rsidR="004452E8" w:rsidRPr="004452E8">
        <w:rPr>
          <w:rFonts w:ascii="Times New Roman" w:hAnsi="Times New Roman" w:cs="Times New Roman"/>
        </w:rPr>
        <w:t xml:space="preserve">had lower reliability when holding the general factor constant </w:t>
      </w:r>
      <w:r w:rsidR="00201F9B" w:rsidRPr="004452E8">
        <w:rPr>
          <w:rFonts w:ascii="Times New Roman" w:hAnsi="Times New Roman"/>
        </w:rPr>
        <w:t>(</w:t>
      </w:r>
      <w:r w:rsidR="008A3859" w:rsidRPr="004452E8">
        <w:rPr>
          <w:rFonts w:ascii="Times New Roman" w:hAnsi="Times New Roman" w:cs="Times New Roman"/>
          <w:position w:val="-2"/>
          <w:lang w:eastAsia="en-GB"/>
        </w:rPr>
        <w:t>d</w:t>
      </w:r>
      <w:r w:rsidR="00473AD0" w:rsidRPr="004452E8">
        <w:rPr>
          <w:rFonts w:ascii="Times New Roman" w:hAnsi="Times New Roman" w:cs="Times New Roman"/>
          <w:position w:val="-2"/>
          <w:lang w:eastAsia="en-GB"/>
        </w:rPr>
        <w:t xml:space="preserve">epression </w:t>
      </w:r>
      <w:r w:rsidR="00642697" w:rsidRPr="004452E8">
        <w:rPr>
          <w:rFonts w:ascii="Times New Roman" w:eastAsia="Times New Roman" w:hAnsi="Times New Roman" w:cs="Times New Roman"/>
          <w:lang w:eastAsia="en-GB"/>
        </w:rPr>
        <w:t>ω</w:t>
      </w:r>
      <w:r w:rsidR="00473AD0" w:rsidRPr="004452E8">
        <w:rPr>
          <w:rFonts w:ascii="Times New Roman" w:hAnsi="Times New Roman" w:cs="Times New Roman"/>
          <w:i/>
          <w:iCs/>
          <w:position w:val="-2"/>
          <w:vertAlign w:val="subscript"/>
          <w:lang w:eastAsia="en-GB"/>
        </w:rPr>
        <w:t>hs</w:t>
      </w:r>
      <w:r w:rsidR="00473AD0" w:rsidRPr="004452E8">
        <w:rPr>
          <w:rFonts w:ascii="Times New Roman" w:eastAsia="Times New Roman" w:hAnsi="Times New Roman" w:cs="Times New Roman"/>
          <w:lang w:eastAsia="en-GB"/>
        </w:rPr>
        <w:t xml:space="preserve"> = .</w:t>
      </w:r>
      <w:r w:rsidR="00473AD0" w:rsidRPr="004452E8">
        <w:rPr>
          <w:rFonts w:ascii="Times New Roman" w:hAnsi="Times New Roman" w:cs="Times New Roman"/>
          <w:position w:val="-2"/>
          <w:lang w:eastAsia="en-GB"/>
        </w:rPr>
        <w:t>2</w:t>
      </w:r>
      <w:r w:rsidR="008624E7" w:rsidRPr="004452E8">
        <w:rPr>
          <w:rFonts w:ascii="Times New Roman" w:hAnsi="Times New Roman" w:cs="Times New Roman"/>
          <w:position w:val="-2"/>
          <w:lang w:eastAsia="en-GB"/>
        </w:rPr>
        <w:t>2</w:t>
      </w:r>
      <w:r w:rsidR="00473AD0" w:rsidRPr="004452E8">
        <w:rPr>
          <w:rFonts w:ascii="Times New Roman" w:hAnsi="Times New Roman" w:cs="Times New Roman"/>
          <w:position w:val="-2"/>
          <w:lang w:eastAsia="en-GB"/>
        </w:rPr>
        <w:t xml:space="preserve">; </w:t>
      </w:r>
      <w:r w:rsidR="000945DE" w:rsidRPr="004452E8">
        <w:rPr>
          <w:rFonts w:ascii="Times New Roman" w:hAnsi="Times New Roman" w:cs="Times New Roman"/>
          <w:position w:val="-2"/>
          <w:lang w:eastAsia="en-GB"/>
        </w:rPr>
        <w:t>a</w:t>
      </w:r>
      <w:r w:rsidR="00473AD0" w:rsidRPr="004452E8">
        <w:rPr>
          <w:rFonts w:ascii="Times New Roman" w:hAnsi="Times New Roman" w:cs="Times New Roman"/>
          <w:position w:val="-2"/>
          <w:lang w:eastAsia="en-GB"/>
        </w:rPr>
        <w:t xml:space="preserve">nxiety </w:t>
      </w:r>
      <w:r w:rsidR="00642697" w:rsidRPr="004452E8">
        <w:rPr>
          <w:rFonts w:ascii="Times New Roman" w:eastAsia="Times New Roman" w:hAnsi="Times New Roman" w:cs="Times New Roman"/>
          <w:lang w:eastAsia="en-GB"/>
        </w:rPr>
        <w:t>ω</w:t>
      </w:r>
      <w:r w:rsidR="00473AD0" w:rsidRPr="004452E8">
        <w:rPr>
          <w:rFonts w:ascii="Times New Roman" w:hAnsi="Times New Roman" w:cs="Times New Roman"/>
          <w:i/>
          <w:iCs/>
          <w:position w:val="-2"/>
          <w:vertAlign w:val="subscript"/>
          <w:lang w:eastAsia="en-GB"/>
        </w:rPr>
        <w:t>hs</w:t>
      </w:r>
      <w:r w:rsidR="00473AD0" w:rsidRPr="004452E8">
        <w:rPr>
          <w:rFonts w:ascii="Times New Roman" w:eastAsia="Times New Roman" w:hAnsi="Times New Roman" w:cs="Times New Roman"/>
          <w:lang w:eastAsia="en-GB"/>
        </w:rPr>
        <w:t xml:space="preserve"> =</w:t>
      </w:r>
      <w:r w:rsidR="00473AD0" w:rsidRPr="004452E8">
        <w:rPr>
          <w:rFonts w:ascii="Times New Roman" w:hAnsi="Times New Roman" w:cs="Times New Roman"/>
          <w:position w:val="-2"/>
          <w:lang w:eastAsia="en-GB"/>
        </w:rPr>
        <w:t xml:space="preserve"> .</w:t>
      </w:r>
      <w:r w:rsidR="00385228" w:rsidRPr="004452E8">
        <w:rPr>
          <w:rFonts w:ascii="Times New Roman" w:hAnsi="Times New Roman" w:cs="Times New Roman"/>
          <w:position w:val="-2"/>
          <w:lang w:eastAsia="en-GB"/>
        </w:rPr>
        <w:t>2</w:t>
      </w:r>
      <w:r w:rsidR="000A2FFB" w:rsidRPr="004452E8">
        <w:rPr>
          <w:rFonts w:ascii="Times New Roman" w:hAnsi="Times New Roman" w:cs="Times New Roman"/>
          <w:position w:val="-2"/>
          <w:lang w:eastAsia="en-GB"/>
        </w:rPr>
        <w:t>9</w:t>
      </w:r>
      <w:r w:rsidR="00473AD0" w:rsidRPr="004452E8">
        <w:rPr>
          <w:rFonts w:ascii="Times New Roman" w:hAnsi="Times New Roman" w:cs="Times New Roman"/>
          <w:position w:val="-2"/>
          <w:lang w:eastAsia="en-GB"/>
        </w:rPr>
        <w:t xml:space="preserve">; </w:t>
      </w:r>
      <w:r w:rsidR="000945DE" w:rsidRPr="004452E8">
        <w:rPr>
          <w:rFonts w:ascii="Times New Roman" w:hAnsi="Times New Roman" w:cs="Times New Roman"/>
          <w:position w:val="-2"/>
          <w:lang w:eastAsia="en-GB"/>
        </w:rPr>
        <w:t>s</w:t>
      </w:r>
      <w:r w:rsidR="00473AD0" w:rsidRPr="004452E8">
        <w:rPr>
          <w:rFonts w:ascii="Times New Roman" w:hAnsi="Times New Roman" w:cs="Times New Roman"/>
          <w:position w:val="-2"/>
          <w:lang w:eastAsia="en-GB"/>
        </w:rPr>
        <w:t xml:space="preserve">tress </w:t>
      </w:r>
      <w:r w:rsidR="00642697" w:rsidRPr="004452E8">
        <w:rPr>
          <w:rFonts w:ascii="Times New Roman" w:eastAsia="Times New Roman" w:hAnsi="Times New Roman" w:cs="Times New Roman"/>
          <w:lang w:eastAsia="en-GB"/>
        </w:rPr>
        <w:t>ω</w:t>
      </w:r>
      <w:r w:rsidR="00473AD0" w:rsidRPr="004452E8">
        <w:rPr>
          <w:rFonts w:ascii="Times New Roman" w:hAnsi="Times New Roman" w:cs="Times New Roman"/>
          <w:i/>
          <w:iCs/>
          <w:position w:val="-2"/>
          <w:vertAlign w:val="subscript"/>
          <w:lang w:eastAsia="en-GB"/>
        </w:rPr>
        <w:t>hs</w:t>
      </w:r>
      <w:r w:rsidR="00473AD0" w:rsidRPr="004452E8">
        <w:rPr>
          <w:rFonts w:ascii="Times New Roman" w:eastAsia="Times New Roman" w:hAnsi="Times New Roman" w:cs="Times New Roman"/>
          <w:lang w:eastAsia="en-GB"/>
        </w:rPr>
        <w:t xml:space="preserve"> =</w:t>
      </w:r>
      <w:r w:rsidR="00A3641C" w:rsidRPr="004452E8">
        <w:rPr>
          <w:rFonts w:ascii="Times New Roman" w:hAnsi="Times New Roman" w:cs="Times New Roman"/>
          <w:position w:val="-2"/>
          <w:lang w:eastAsia="en-GB"/>
        </w:rPr>
        <w:t xml:space="preserve"> </w:t>
      </w:r>
      <w:r w:rsidR="00473AD0" w:rsidRPr="004452E8">
        <w:rPr>
          <w:rFonts w:ascii="Times New Roman" w:hAnsi="Times New Roman" w:cs="Times New Roman"/>
          <w:position w:val="-2"/>
          <w:lang w:eastAsia="en-GB"/>
        </w:rPr>
        <w:t>.0</w:t>
      </w:r>
      <w:r w:rsidR="00116618" w:rsidRPr="004452E8">
        <w:rPr>
          <w:rFonts w:ascii="Times New Roman" w:hAnsi="Times New Roman" w:cs="Times New Roman"/>
          <w:position w:val="-2"/>
          <w:lang w:eastAsia="en-GB"/>
        </w:rPr>
        <w:t>7</w:t>
      </w:r>
      <w:r w:rsidR="00201F9B" w:rsidRPr="004452E8">
        <w:rPr>
          <w:rFonts w:ascii="Times New Roman" w:hAnsi="Times New Roman"/>
        </w:rPr>
        <w:t>)</w:t>
      </w:r>
      <w:r w:rsidRPr="004452E8">
        <w:rPr>
          <w:rFonts w:ascii="Times New Roman" w:hAnsi="Times New Roman"/>
        </w:rPr>
        <w:t xml:space="preserve">. </w:t>
      </w:r>
      <w:r w:rsidR="009C1A8A" w:rsidRPr="004452E8">
        <w:rPr>
          <w:rFonts w:ascii="Times New Roman" w:hAnsi="Times New Roman"/>
        </w:rPr>
        <w:t>The</w:t>
      </w:r>
      <w:r w:rsidR="005D024B" w:rsidRPr="004452E8">
        <w:rPr>
          <w:rFonts w:ascii="Times New Roman" w:hAnsi="Times New Roman"/>
        </w:rPr>
        <w:t xml:space="preserve"> ECV</w:t>
      </w:r>
      <w:r w:rsidR="00E81166" w:rsidRPr="004452E8">
        <w:rPr>
          <w:rFonts w:ascii="Times New Roman" w:hAnsi="Times New Roman"/>
        </w:rPr>
        <w:t xml:space="preserve">, </w:t>
      </w:r>
      <w:r w:rsidR="005D024B" w:rsidRPr="004452E8">
        <w:rPr>
          <w:rFonts w:ascii="Times New Roman" w:hAnsi="Times New Roman"/>
        </w:rPr>
        <w:t>S-ECV</w:t>
      </w:r>
      <w:r w:rsidR="00E81166" w:rsidRPr="004452E8">
        <w:rPr>
          <w:rFonts w:ascii="Times New Roman" w:hAnsi="Times New Roman"/>
        </w:rPr>
        <w:t xml:space="preserve">, </w:t>
      </w:r>
      <w:r w:rsidR="00E81166" w:rsidRPr="004452E8">
        <w:rPr>
          <w:rFonts w:ascii="Times New Roman" w:hAnsi="Times New Roman"/>
        </w:rPr>
        <w:lastRenderedPageBreak/>
        <w:t>and ARPB</w:t>
      </w:r>
      <w:r w:rsidR="005D024B" w:rsidRPr="004452E8">
        <w:rPr>
          <w:rFonts w:ascii="Times New Roman" w:hAnsi="Times New Roman"/>
        </w:rPr>
        <w:t xml:space="preserve"> </w:t>
      </w:r>
      <w:r w:rsidR="008133A2" w:rsidRPr="004452E8">
        <w:rPr>
          <w:rFonts w:ascii="Times New Roman" w:hAnsi="Times New Roman"/>
        </w:rPr>
        <w:t>showed</w:t>
      </w:r>
      <w:r w:rsidR="005D024B" w:rsidRPr="004452E8">
        <w:rPr>
          <w:rFonts w:ascii="Times New Roman" w:hAnsi="Times New Roman"/>
        </w:rPr>
        <w:t xml:space="preserve"> the </w:t>
      </w:r>
      <w:r w:rsidR="00080556" w:rsidRPr="004452E8">
        <w:rPr>
          <w:rFonts w:ascii="Times New Roman" w:hAnsi="Times New Roman"/>
        </w:rPr>
        <w:t>DASS42</w:t>
      </w:r>
      <w:r w:rsidR="005D024B" w:rsidRPr="004452E8">
        <w:rPr>
          <w:rFonts w:ascii="Times New Roman" w:hAnsi="Times New Roman"/>
        </w:rPr>
        <w:t xml:space="preserve"> </w:t>
      </w:r>
      <w:r w:rsidR="008133A2" w:rsidRPr="004452E8">
        <w:rPr>
          <w:rFonts w:ascii="Times New Roman" w:hAnsi="Times New Roman"/>
        </w:rPr>
        <w:t>could</w:t>
      </w:r>
      <w:r w:rsidR="005D024B" w:rsidRPr="004452E8">
        <w:rPr>
          <w:rFonts w:ascii="Times New Roman" w:hAnsi="Times New Roman"/>
        </w:rPr>
        <w:t xml:space="preserve"> be considered essentially unidimensional</w:t>
      </w:r>
      <w:r w:rsidR="0052552C" w:rsidRPr="004452E8">
        <w:rPr>
          <w:rFonts w:ascii="Times New Roman" w:hAnsi="Times New Roman"/>
        </w:rPr>
        <w:t xml:space="preserve">, </w:t>
      </w:r>
      <w:r w:rsidR="00AA4F44" w:rsidRPr="004452E8">
        <w:rPr>
          <w:rFonts w:ascii="Times New Roman" w:hAnsi="Times New Roman" w:cs="Times New Roman"/>
        </w:rPr>
        <w:t xml:space="preserve">and the VARs indicated that the </w:t>
      </w:r>
      <w:r w:rsidR="00AA4F44" w:rsidRPr="004452E8">
        <w:rPr>
          <w:rFonts w:eastAsia="Times New Roman" w:cstheme="minorHAnsi"/>
          <w:lang w:eastAsia="en-GB"/>
        </w:rPr>
        <w:t>individual scale scores did not add meaningful value beyond the total score</w:t>
      </w:r>
      <w:r w:rsidR="00AA4F44" w:rsidRPr="004452E8">
        <w:rPr>
          <w:rFonts w:ascii="Times New Roman" w:hAnsi="Times New Roman" w:cs="Times New Roman"/>
        </w:rPr>
        <w:t>. However,</w:t>
      </w:r>
      <w:r w:rsidR="00AA4F44" w:rsidRPr="004452E8">
        <w:rPr>
          <w:rFonts w:ascii="Times New Roman" w:hAnsi="Times New Roman"/>
        </w:rPr>
        <w:t xml:space="preserve"> the</w:t>
      </w:r>
      <w:r w:rsidR="0052552C" w:rsidRPr="004452E8">
        <w:rPr>
          <w:rFonts w:ascii="Times New Roman" w:hAnsi="Times New Roman"/>
        </w:rPr>
        <w:t xml:space="preserve"> PUC was slightly below our </w:t>
      </w:r>
      <w:r w:rsidR="0052552C" w:rsidRPr="004452E8">
        <w:rPr>
          <w:rFonts w:ascii="Times New Roman" w:hAnsi="Times New Roman"/>
          <w:i/>
        </w:rPr>
        <w:t>a priori</w:t>
      </w:r>
      <w:r w:rsidR="0052552C" w:rsidRPr="004452E8">
        <w:rPr>
          <w:rFonts w:ascii="Times New Roman" w:hAnsi="Times New Roman"/>
        </w:rPr>
        <w:t xml:space="preserve"> threshold for unidimensionality (PUC = .6</w:t>
      </w:r>
      <w:r w:rsidR="009F6069" w:rsidRPr="004452E8">
        <w:rPr>
          <w:rFonts w:ascii="Times New Roman" w:hAnsi="Times New Roman"/>
        </w:rPr>
        <w:t>8</w:t>
      </w:r>
      <w:r w:rsidR="0052552C" w:rsidRPr="004452E8">
        <w:rPr>
          <w:rFonts w:ascii="Times New Roman" w:hAnsi="Times New Roman"/>
        </w:rPr>
        <w:t xml:space="preserve">; </w:t>
      </w:r>
      <w:r w:rsidR="00E022CF" w:rsidRPr="004452E8">
        <w:rPr>
          <w:rFonts w:ascii="Times New Roman" w:hAnsi="Times New Roman" w:cs="Times New Roman"/>
        </w:rPr>
        <w:t>≥</w:t>
      </w:r>
      <w:r w:rsidR="0052552C" w:rsidRPr="004452E8">
        <w:rPr>
          <w:rFonts w:cstheme="minorHAnsi"/>
        </w:rPr>
        <w:t xml:space="preserve"> .70 </w:t>
      </w:r>
      <w:r w:rsidR="003A02DC" w:rsidRPr="004452E8">
        <w:rPr>
          <w:rFonts w:cstheme="minorHAnsi"/>
        </w:rPr>
        <w:t>sufficient</w:t>
      </w:r>
      <w:r w:rsidR="0052552C" w:rsidRPr="004452E8">
        <w:rPr>
          <w:rFonts w:cstheme="minorHAnsi"/>
        </w:rPr>
        <w:t xml:space="preserve"> for unidimensionality)</w:t>
      </w:r>
      <w:r w:rsidR="00AB4889" w:rsidRPr="004452E8">
        <w:rPr>
          <w:rFonts w:cstheme="minorHAnsi"/>
        </w:rPr>
        <w:t>,</w:t>
      </w:r>
      <w:r w:rsidR="008769AB" w:rsidRPr="004452E8">
        <w:rPr>
          <w:rFonts w:cstheme="minorHAnsi"/>
        </w:rPr>
        <w:t xml:space="preserve"> and </w:t>
      </w:r>
      <w:r w:rsidR="001D71DE" w:rsidRPr="004452E8">
        <w:rPr>
          <w:rFonts w:cstheme="minorHAnsi"/>
        </w:rPr>
        <w:t xml:space="preserve">as with the DASS21, </w:t>
      </w:r>
      <w:r w:rsidR="008769AB" w:rsidRPr="004452E8">
        <w:rPr>
          <w:rFonts w:cstheme="minorHAnsi"/>
        </w:rPr>
        <w:t>unidimensional model fit was poor</w:t>
      </w:r>
      <w:r w:rsidR="00AA4F44" w:rsidRPr="004452E8">
        <w:rPr>
          <w:rFonts w:cstheme="minorHAnsi"/>
        </w:rPr>
        <w:t xml:space="preserve"> (Supplemental Table </w:t>
      </w:r>
      <w:r w:rsidR="00820F18" w:rsidRPr="004452E8">
        <w:rPr>
          <w:rFonts w:cstheme="minorHAnsi"/>
        </w:rPr>
        <w:t>S9</w:t>
      </w:r>
      <w:r w:rsidR="00AA4F44" w:rsidRPr="004452E8">
        <w:rPr>
          <w:rFonts w:cstheme="minorHAnsi"/>
        </w:rPr>
        <w:t>)</w:t>
      </w:r>
      <w:r w:rsidR="005D024B" w:rsidRPr="004452E8">
        <w:rPr>
          <w:rFonts w:ascii="Times New Roman" w:hAnsi="Times New Roman" w:cs="Times New Roman"/>
        </w:rPr>
        <w:t>.</w:t>
      </w:r>
      <w:r w:rsidR="006B36D6" w:rsidRPr="004452E8">
        <w:rPr>
          <w:rFonts w:ascii="Times New Roman" w:hAnsi="Times New Roman"/>
        </w:rPr>
        <w:t xml:space="preserve"> </w:t>
      </w:r>
      <w:r w:rsidR="004452E8" w:rsidRPr="004452E8">
        <w:rPr>
          <w:rFonts w:ascii="Times New Roman" w:hAnsi="Times New Roman"/>
        </w:rPr>
        <w:t>The first- and second-order factor models similarly showed that the DASS42 specific factors were poorly differentiated from one another</w:t>
      </w:r>
      <w:r w:rsidR="004452E8">
        <w:rPr>
          <w:rFonts w:ascii="Times New Roman" w:hAnsi="Times New Roman"/>
        </w:rPr>
        <w:t xml:space="preserve"> (</w:t>
      </w:r>
      <w:r w:rsidR="004452E8">
        <w:rPr>
          <w:rFonts w:ascii="Times New Roman" w:hAnsi="Times New Roman"/>
          <w:i/>
          <w:iCs/>
        </w:rPr>
        <w:t>r</w:t>
      </w:r>
      <w:r w:rsidR="004452E8">
        <w:rPr>
          <w:rFonts w:ascii="Times New Roman" w:hAnsi="Times New Roman"/>
        </w:rPr>
        <w:t xml:space="preserve"> = .73–.86)</w:t>
      </w:r>
      <w:r w:rsidR="004452E8" w:rsidRPr="004452E8">
        <w:rPr>
          <w:rFonts w:ascii="Times New Roman" w:hAnsi="Times New Roman"/>
        </w:rPr>
        <w:t xml:space="preserve"> and from the general factor</w:t>
      </w:r>
      <w:r w:rsidR="004452E8">
        <w:rPr>
          <w:rFonts w:ascii="Times New Roman" w:hAnsi="Times New Roman"/>
        </w:rPr>
        <w:t xml:space="preserve"> (</w:t>
      </w:r>
      <w:r w:rsidR="004452E8">
        <w:rPr>
          <w:rFonts w:ascii="Times New Roman" w:hAnsi="Times New Roman"/>
          <w:i/>
          <w:iCs/>
        </w:rPr>
        <w:t>r</w:t>
      </w:r>
      <w:r w:rsidR="004452E8">
        <w:rPr>
          <w:rFonts w:ascii="Times New Roman" w:hAnsi="Times New Roman"/>
        </w:rPr>
        <w:t xml:space="preserve"> = .83–.98)</w:t>
      </w:r>
      <w:r w:rsidR="004452E8" w:rsidRPr="004452E8">
        <w:rPr>
          <w:rFonts w:ascii="Times New Roman" w:hAnsi="Times New Roman"/>
        </w:rPr>
        <w:t xml:space="preserve">. </w:t>
      </w:r>
      <w:r w:rsidR="00341E7B" w:rsidRPr="004452E8">
        <w:rPr>
          <w:rFonts w:ascii="Times New Roman" w:hAnsi="Times New Roman"/>
        </w:rPr>
        <w:t>I</w:t>
      </w:r>
      <w:r w:rsidR="006248A6" w:rsidRPr="004452E8">
        <w:rPr>
          <w:rFonts w:ascii="Times New Roman" w:hAnsi="Times New Roman"/>
        </w:rPr>
        <w:t>ndividual</w:t>
      </w:r>
      <w:r w:rsidR="00EA0A0E" w:rsidRPr="004452E8">
        <w:rPr>
          <w:rFonts w:ascii="Times New Roman" w:hAnsi="Times New Roman"/>
        </w:rPr>
        <w:t>-</w:t>
      </w:r>
      <w:r w:rsidR="006248A6" w:rsidRPr="004452E8">
        <w:rPr>
          <w:rFonts w:ascii="Times New Roman" w:hAnsi="Times New Roman"/>
        </w:rPr>
        <w:t>item</w:t>
      </w:r>
      <w:r w:rsidR="00341E7B" w:rsidRPr="004452E8">
        <w:rPr>
          <w:rFonts w:ascii="Times New Roman" w:hAnsi="Times New Roman"/>
        </w:rPr>
        <w:t xml:space="preserve"> </w:t>
      </w:r>
      <w:r w:rsidR="00BF7796" w:rsidRPr="004452E8">
        <w:rPr>
          <w:rFonts w:ascii="Times New Roman" w:hAnsi="Times New Roman"/>
        </w:rPr>
        <w:t>analys</w:t>
      </w:r>
      <w:r w:rsidR="00EA0A0E" w:rsidRPr="004452E8">
        <w:rPr>
          <w:rFonts w:ascii="Times New Roman" w:hAnsi="Times New Roman"/>
        </w:rPr>
        <w:t>is</w:t>
      </w:r>
      <w:r w:rsidR="00BF7796" w:rsidRPr="004452E8">
        <w:rPr>
          <w:rFonts w:ascii="Times New Roman" w:hAnsi="Times New Roman"/>
        </w:rPr>
        <w:t xml:space="preserve"> </w:t>
      </w:r>
      <w:r w:rsidR="000945DE" w:rsidRPr="004452E8">
        <w:rPr>
          <w:rFonts w:ascii="Times New Roman" w:hAnsi="Times New Roman"/>
        </w:rPr>
        <w:t xml:space="preserve">highlighted </w:t>
      </w:r>
      <w:r w:rsidR="00585E87" w:rsidRPr="004452E8">
        <w:rPr>
          <w:rFonts w:ascii="Times New Roman" w:hAnsi="Times New Roman"/>
        </w:rPr>
        <w:t xml:space="preserve">similar depression </w:t>
      </w:r>
      <w:r w:rsidR="00820F18" w:rsidRPr="004452E8">
        <w:rPr>
          <w:rFonts w:ascii="Times New Roman" w:hAnsi="Times New Roman"/>
        </w:rPr>
        <w:t xml:space="preserve">scale </w:t>
      </w:r>
      <w:r w:rsidR="00585E87" w:rsidRPr="004452E8">
        <w:rPr>
          <w:rFonts w:ascii="Times New Roman" w:hAnsi="Times New Roman"/>
        </w:rPr>
        <w:t>items</w:t>
      </w:r>
      <w:r w:rsidR="00086263" w:rsidRPr="004452E8">
        <w:rPr>
          <w:rFonts w:ascii="Times New Roman" w:hAnsi="Times New Roman"/>
        </w:rPr>
        <w:t xml:space="preserve"> </w:t>
      </w:r>
      <w:r w:rsidR="00EA0A0E" w:rsidRPr="004452E8">
        <w:rPr>
          <w:rFonts w:ascii="Times New Roman" w:eastAsia="Times New Roman" w:hAnsi="Times New Roman" w:cs="Times New Roman"/>
          <w:lang w:eastAsia="en-GB"/>
        </w:rPr>
        <w:t>to</w:t>
      </w:r>
      <w:r w:rsidR="00E26CA0" w:rsidRPr="004452E8">
        <w:rPr>
          <w:rFonts w:ascii="Times New Roman" w:eastAsia="Times New Roman" w:hAnsi="Times New Roman" w:cs="Times New Roman"/>
          <w:lang w:eastAsia="en-GB"/>
        </w:rPr>
        <w:t xml:space="preserve"> the </w:t>
      </w:r>
      <w:r w:rsidR="00080556" w:rsidRPr="004452E8">
        <w:rPr>
          <w:rFonts w:ascii="Times New Roman" w:eastAsia="Times New Roman" w:hAnsi="Times New Roman" w:cs="Times New Roman"/>
          <w:lang w:eastAsia="en-GB"/>
        </w:rPr>
        <w:t>DASS21</w:t>
      </w:r>
      <w:r w:rsidR="00E26CA0" w:rsidRPr="004452E8">
        <w:rPr>
          <w:rFonts w:ascii="Times New Roman" w:eastAsia="Times New Roman" w:hAnsi="Times New Roman" w:cs="Times New Roman"/>
          <w:lang w:eastAsia="en-GB"/>
        </w:rPr>
        <w:t xml:space="preserve"> </w:t>
      </w:r>
      <w:r w:rsidR="000945DE" w:rsidRPr="004452E8">
        <w:rPr>
          <w:rFonts w:ascii="Times New Roman" w:eastAsia="Times New Roman" w:hAnsi="Times New Roman" w:cs="Times New Roman"/>
          <w:lang w:eastAsia="en-GB"/>
        </w:rPr>
        <w:t>as</w:t>
      </w:r>
      <w:r w:rsidR="00BF7796" w:rsidRPr="004452E8">
        <w:rPr>
          <w:rFonts w:ascii="Times New Roman" w:eastAsia="Times New Roman" w:hAnsi="Times New Roman" w:cs="Times New Roman"/>
          <w:lang w:eastAsia="en-GB"/>
        </w:rPr>
        <w:t xml:space="preserve"> </w:t>
      </w:r>
      <w:r w:rsidR="001D71DE" w:rsidRPr="004452E8">
        <w:rPr>
          <w:rFonts w:ascii="Times New Roman" w:eastAsia="Times New Roman" w:hAnsi="Times New Roman" w:cs="Times New Roman"/>
          <w:lang w:eastAsia="en-GB"/>
        </w:rPr>
        <w:t xml:space="preserve">the main </w:t>
      </w:r>
      <w:r w:rsidR="009B2BD0" w:rsidRPr="004452E8">
        <w:rPr>
          <w:rFonts w:ascii="Times New Roman" w:eastAsia="Times New Roman" w:hAnsi="Times New Roman" w:cs="Times New Roman"/>
          <w:lang w:eastAsia="en-GB"/>
        </w:rPr>
        <w:t>sources of multidimensionality.</w:t>
      </w:r>
    </w:p>
    <w:p w14:paraId="142E7EB1" w14:textId="30AC12DE" w:rsidR="006716B9" w:rsidRPr="00B424A1" w:rsidRDefault="006716B9" w:rsidP="006716B9">
      <w:pPr>
        <w:pStyle w:val="Heading1"/>
        <w:rPr>
          <w:lang w:val="en-AU" w:eastAsia="en-GB"/>
        </w:rPr>
      </w:pPr>
      <w:r w:rsidRPr="00B424A1">
        <w:rPr>
          <w:lang w:val="en-AU" w:eastAsia="en-GB"/>
        </w:rPr>
        <w:t>Discussion</w:t>
      </w:r>
    </w:p>
    <w:p w14:paraId="702182E6" w14:textId="7D35AB77" w:rsidR="00585E87" w:rsidRPr="00B424A1" w:rsidRDefault="005A02ED" w:rsidP="00AA4F44">
      <w:bookmarkStart w:id="87" w:name="_Toc85456502"/>
      <w:r w:rsidRPr="00DE1141">
        <w:t xml:space="preserve">This is the first study </w:t>
      </w:r>
      <w:r w:rsidR="00A06F16" w:rsidRPr="00DE1141">
        <w:t xml:space="preserve">of which </w:t>
      </w:r>
      <w:r w:rsidR="002613F5" w:rsidRPr="00DE1141">
        <w:t xml:space="preserve">we are aware </w:t>
      </w:r>
      <w:r w:rsidRPr="00DE1141">
        <w:t xml:space="preserve">to critically evaluate the </w:t>
      </w:r>
      <w:r w:rsidR="00DE1141" w:rsidRPr="00DE1141">
        <w:t xml:space="preserve">internal </w:t>
      </w:r>
      <w:r w:rsidR="002613F5" w:rsidRPr="00DE1141">
        <w:t>structure of</w:t>
      </w:r>
      <w:r w:rsidRPr="00DE1141">
        <w:t xml:space="preserve"> the DASS </w:t>
      </w:r>
      <w:r w:rsidR="00537F23" w:rsidRPr="00DE1141">
        <w:t>for</w:t>
      </w:r>
      <w:r w:rsidR="002613F5" w:rsidRPr="00DE1141">
        <w:t xml:space="preserve"> individuals with TBI </w:t>
      </w:r>
      <w:r w:rsidRPr="00DE1141">
        <w:t xml:space="preserve">using </w:t>
      </w:r>
      <w:r w:rsidR="002D0A74" w:rsidRPr="00DE1141">
        <w:t xml:space="preserve">novel </w:t>
      </w:r>
      <w:r w:rsidRPr="00DE1141">
        <w:t>bifactor statistical indices. As hypothesi</w:t>
      </w:r>
      <w:r w:rsidR="00537F23" w:rsidRPr="00DE1141">
        <w:t>z</w:t>
      </w:r>
      <w:r w:rsidRPr="00DE1141">
        <w:t xml:space="preserve">ed, </w:t>
      </w:r>
      <w:r w:rsidR="001C396E" w:rsidRPr="00DE1141">
        <w:t xml:space="preserve">the </w:t>
      </w:r>
      <w:r w:rsidR="00DE1141" w:rsidRPr="00DE1141">
        <w:t>internal structure</w:t>
      </w:r>
      <w:r w:rsidR="001C396E" w:rsidRPr="00DE1141">
        <w:t xml:space="preserve"> </w:t>
      </w:r>
      <w:r w:rsidR="00080556" w:rsidRPr="00DE1141">
        <w:t>DASS21</w:t>
      </w:r>
      <w:r w:rsidR="001C396E" w:rsidRPr="00DE1141">
        <w:t xml:space="preserve"> </w:t>
      </w:r>
      <w:r w:rsidR="008369F0" w:rsidRPr="00DE1141">
        <w:t>comprised a</w:t>
      </w:r>
      <w:r w:rsidR="001C396E" w:rsidRPr="00DE1141">
        <w:t xml:space="preserve"> dominant general distress facto</w:t>
      </w:r>
      <w:r w:rsidR="00272CC6" w:rsidRPr="00DE1141">
        <w:t>r, whil</w:t>
      </w:r>
      <w:r w:rsidR="00DE1141" w:rsidRPr="00DE1141">
        <w:t>e</w:t>
      </w:r>
      <w:r w:rsidR="00272CC6" w:rsidRPr="00DE1141">
        <w:t xml:space="preserve"> the </w:t>
      </w:r>
      <w:r w:rsidR="001E7D10" w:rsidRPr="00DE1141">
        <w:t>individual</w:t>
      </w:r>
      <w:r w:rsidR="008369F0" w:rsidRPr="00DE1141">
        <w:t xml:space="preserve"> </w:t>
      </w:r>
      <w:r w:rsidR="000E0720" w:rsidRPr="00DE1141">
        <w:t xml:space="preserve">scales </w:t>
      </w:r>
      <w:r w:rsidR="00855CB4" w:rsidRPr="00DE1141">
        <w:t>added little specific information beyond that provided by the</w:t>
      </w:r>
      <w:r w:rsidR="008369F0" w:rsidRPr="00DE1141">
        <w:t xml:space="preserve"> </w:t>
      </w:r>
      <w:r w:rsidR="00AA4F44" w:rsidRPr="00DE1141">
        <w:t>total score</w:t>
      </w:r>
      <w:r w:rsidRPr="00DE1141">
        <w:t xml:space="preserve">. </w:t>
      </w:r>
      <w:r w:rsidR="00396C5B" w:rsidRPr="00DE1141">
        <w:t xml:space="preserve">Our </w:t>
      </w:r>
      <w:r w:rsidRPr="00DE1141">
        <w:t xml:space="preserve">second hypothesis </w:t>
      </w:r>
      <w:r w:rsidR="00396C5B" w:rsidRPr="00DE1141">
        <w:t>was also supported</w:t>
      </w:r>
      <w:r w:rsidR="001E7D10" w:rsidRPr="00DE1141">
        <w:t>:</w:t>
      </w:r>
      <w:r w:rsidR="001C493E" w:rsidRPr="00DE1141">
        <w:t xml:space="preserve"> </w:t>
      </w:r>
      <w:r w:rsidR="00396C5B" w:rsidRPr="00DE1141">
        <w:t>the DASS</w:t>
      </w:r>
      <w:r w:rsidR="00DE1141" w:rsidRPr="00DE1141">
        <w:t>21</w:t>
      </w:r>
      <w:r w:rsidR="00396C5B" w:rsidRPr="00DE1141">
        <w:t xml:space="preserve"> </w:t>
      </w:r>
      <w:r w:rsidR="002C7CC1">
        <w:t>was essentially</w:t>
      </w:r>
      <w:r w:rsidRPr="00DE1141">
        <w:t xml:space="preserve"> unidimensiona</w:t>
      </w:r>
      <w:r w:rsidR="00396C5B" w:rsidRPr="00DE1141">
        <w:t>l</w:t>
      </w:r>
      <w:r w:rsidR="00437473">
        <w:t>,</w:t>
      </w:r>
      <w:r w:rsidR="0032281D" w:rsidRPr="00DE1141">
        <w:t xml:space="preserve"> with minimal bias</w:t>
      </w:r>
      <w:r w:rsidR="00437473">
        <w:t xml:space="preserve"> in parameter estimates</w:t>
      </w:r>
      <w:r w:rsidR="00AA4F44" w:rsidRPr="00DE1141">
        <w:t xml:space="preserve"> </w:t>
      </w:r>
      <w:r w:rsidR="00437473">
        <w:t>introduced by omitting the three specific factors.</w:t>
      </w:r>
      <w:r w:rsidR="008769AB" w:rsidRPr="00DE1141">
        <w:t xml:space="preserve"> </w:t>
      </w:r>
      <w:r w:rsidR="00DE1141" w:rsidRPr="00DE1141">
        <w:t>The DASS21 specific factors were</w:t>
      </w:r>
      <w:r w:rsidR="00D5004B">
        <w:t xml:space="preserve"> not well-</w:t>
      </w:r>
      <w:r w:rsidR="00DE1141" w:rsidRPr="00DE1141">
        <w:t xml:space="preserve">differentiated from one another </w:t>
      </w:r>
      <w:r w:rsidR="00D5004B">
        <w:t>or</w:t>
      </w:r>
      <w:r w:rsidR="00DE1141" w:rsidRPr="00DE1141">
        <w:t xml:space="preserve"> from the general factor. </w:t>
      </w:r>
      <w:r w:rsidR="008769AB" w:rsidRPr="00DE1141">
        <w:t xml:space="preserve">However, </w:t>
      </w:r>
      <w:r w:rsidR="00DE1141" w:rsidRPr="00DE1141">
        <w:t xml:space="preserve">at the same time, </w:t>
      </w:r>
      <w:r w:rsidR="008769AB" w:rsidRPr="00DE1141">
        <w:t>unidimensional model fit was poor and individual-item analysis suggested some items</w:t>
      </w:r>
      <w:r w:rsidR="00DE1141" w:rsidRPr="00DE1141">
        <w:t>, particularly from the depression scale,</w:t>
      </w:r>
      <w:r w:rsidR="008769AB" w:rsidRPr="00DE1141">
        <w:t xml:space="preserve"> contributed multidimensionality to the </w:t>
      </w:r>
      <w:r w:rsidR="00437473">
        <w:t xml:space="preserve">DASS21 </w:t>
      </w:r>
      <w:r w:rsidR="008769AB" w:rsidRPr="00DE1141">
        <w:t>data structure</w:t>
      </w:r>
      <w:r w:rsidR="00ED74F6" w:rsidRPr="00DE1141">
        <w:t xml:space="preserve">. </w:t>
      </w:r>
      <w:r w:rsidR="008369F0" w:rsidRPr="00DE1141">
        <w:t>O</w:t>
      </w:r>
      <w:r w:rsidR="00ED74F6" w:rsidRPr="00DE1141">
        <w:t>ur</w:t>
      </w:r>
      <w:r w:rsidR="001F5668" w:rsidRPr="00DE1141">
        <w:t xml:space="preserve"> results </w:t>
      </w:r>
      <w:r w:rsidR="001B5250" w:rsidRPr="00DE1141">
        <w:t xml:space="preserve">were </w:t>
      </w:r>
      <w:r w:rsidR="008369F0" w:rsidRPr="00DE1141">
        <w:t>similar for the</w:t>
      </w:r>
      <w:r w:rsidR="00680F2E" w:rsidRPr="00DE1141">
        <w:t xml:space="preserve"> </w:t>
      </w:r>
      <w:r w:rsidR="00080556" w:rsidRPr="00DE1141">
        <w:t>DASS42</w:t>
      </w:r>
      <w:r w:rsidR="001F5668" w:rsidRPr="00DE1141">
        <w:t xml:space="preserve">, suggesting </w:t>
      </w:r>
      <w:r w:rsidR="00DC14E8">
        <w:t xml:space="preserve">that </w:t>
      </w:r>
      <w:r w:rsidR="00E3706B" w:rsidRPr="00DE1141">
        <w:t>the increase in items</w:t>
      </w:r>
      <w:r w:rsidR="00ED4CC4" w:rsidRPr="00DE1141">
        <w:t xml:space="preserve"> did not</w:t>
      </w:r>
      <w:r w:rsidR="00DA616A" w:rsidRPr="00DE1141">
        <w:t xml:space="preserve"> </w:t>
      </w:r>
      <w:r w:rsidR="00737786" w:rsidRPr="00DE1141">
        <w:t xml:space="preserve">provide </w:t>
      </w:r>
      <w:r w:rsidR="00737786" w:rsidRPr="00DE1141">
        <w:rPr>
          <w:rFonts w:ascii="Times New Roman" w:hAnsi="Times New Roman"/>
        </w:rPr>
        <w:t xml:space="preserve">greater </w:t>
      </w:r>
      <w:r w:rsidR="006B44E3" w:rsidRPr="00DE1141">
        <w:rPr>
          <w:rFonts w:ascii="Times New Roman" w:hAnsi="Times New Roman"/>
        </w:rPr>
        <w:t>reliability of the specific factors</w:t>
      </w:r>
      <w:r w:rsidR="00737786" w:rsidRPr="00DE1141">
        <w:rPr>
          <w:rFonts w:ascii="Times New Roman" w:hAnsi="Times New Roman"/>
        </w:rPr>
        <w:t xml:space="preserve"> </w:t>
      </w:r>
      <w:r w:rsidR="00860B98" w:rsidRPr="00DE1141">
        <w:rPr>
          <w:rFonts w:ascii="Times New Roman" w:hAnsi="Times New Roman"/>
        </w:rPr>
        <w:t>or</w:t>
      </w:r>
      <w:r w:rsidR="00737786" w:rsidRPr="00DE1141">
        <w:rPr>
          <w:rFonts w:ascii="Times New Roman" w:hAnsi="Times New Roman"/>
        </w:rPr>
        <w:t xml:space="preserve"> </w:t>
      </w:r>
      <w:r w:rsidR="00926CF7">
        <w:rPr>
          <w:rFonts w:ascii="Times New Roman" w:hAnsi="Times New Roman"/>
        </w:rPr>
        <w:t xml:space="preserve">greater </w:t>
      </w:r>
      <w:r w:rsidR="00737786" w:rsidRPr="00DE1141">
        <w:rPr>
          <w:rFonts w:ascii="Times New Roman" w:hAnsi="Times New Roman"/>
        </w:rPr>
        <w:t>multidimensionality</w:t>
      </w:r>
      <w:r w:rsidR="00DA616A" w:rsidRPr="00DE1141">
        <w:t xml:space="preserve">. </w:t>
      </w:r>
      <w:r w:rsidR="009A74C3" w:rsidRPr="00DE1141">
        <w:t xml:space="preserve">Our </w:t>
      </w:r>
      <w:r w:rsidR="00A40CB6" w:rsidRPr="00DE1141">
        <w:t xml:space="preserve">findings </w:t>
      </w:r>
      <w:r w:rsidR="00DE6047" w:rsidRPr="00DE1141">
        <w:t>suggest</w:t>
      </w:r>
      <w:r w:rsidR="009A74C3" w:rsidRPr="00DE1141">
        <w:t xml:space="preserve"> </w:t>
      </w:r>
      <w:r w:rsidR="008369F0" w:rsidRPr="00DE1141">
        <w:t xml:space="preserve">the </w:t>
      </w:r>
      <w:r w:rsidR="002E6078" w:rsidRPr="00DE1141">
        <w:t>conventional</w:t>
      </w:r>
      <w:r w:rsidR="008369F0" w:rsidRPr="00DE1141">
        <w:t xml:space="preserve"> </w:t>
      </w:r>
      <w:r w:rsidR="00AA4F44" w:rsidRPr="00DE1141">
        <w:t>three-factor scoring of the DASS</w:t>
      </w:r>
      <w:r w:rsidR="00D572CE">
        <w:t>21 and DASS42</w:t>
      </w:r>
      <w:r w:rsidR="009A74C3" w:rsidRPr="00DE1141">
        <w:t xml:space="preserve"> may be questionable </w:t>
      </w:r>
      <w:r w:rsidR="00537F23" w:rsidRPr="00DE1141">
        <w:t>for individuals with TBI.</w:t>
      </w:r>
      <w:bookmarkStart w:id="88" w:name="_Toc85182150"/>
      <w:bookmarkStart w:id="89" w:name="_Toc85399193"/>
      <w:bookmarkStart w:id="90" w:name="_Toc85455474"/>
      <w:bookmarkStart w:id="91" w:name="_Toc85455667"/>
      <w:bookmarkStart w:id="92" w:name="_Toc85456067"/>
      <w:bookmarkStart w:id="93" w:name="_Toc85456356"/>
      <w:bookmarkStart w:id="94" w:name="_Toc85456492"/>
      <w:bookmarkStart w:id="95" w:name="_Toc86046803"/>
      <w:bookmarkStart w:id="96" w:name="_Toc86047044"/>
      <w:bookmarkStart w:id="97" w:name="_Toc86047171"/>
      <w:bookmarkStart w:id="98" w:name="_Toc86047227"/>
    </w:p>
    <w:bookmarkEnd w:id="88"/>
    <w:bookmarkEnd w:id="89"/>
    <w:bookmarkEnd w:id="90"/>
    <w:bookmarkEnd w:id="91"/>
    <w:bookmarkEnd w:id="92"/>
    <w:bookmarkEnd w:id="93"/>
    <w:bookmarkEnd w:id="94"/>
    <w:bookmarkEnd w:id="95"/>
    <w:bookmarkEnd w:id="96"/>
    <w:bookmarkEnd w:id="97"/>
    <w:bookmarkEnd w:id="98"/>
    <w:p w14:paraId="53C6C46E" w14:textId="6BF682EF" w:rsidR="00F8046A" w:rsidRPr="00996F86" w:rsidRDefault="001C396E" w:rsidP="004515E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561"/>
        <w:rPr>
          <w:kern w:val="0"/>
          <w:lang w:val="en-GB"/>
        </w:rPr>
      </w:pPr>
      <w:r w:rsidRPr="00B424A1">
        <w:rPr>
          <w:rFonts w:cstheme="minorHAnsi"/>
        </w:rPr>
        <w:t xml:space="preserve">Our </w:t>
      </w:r>
      <w:r w:rsidR="00C959C3" w:rsidRPr="00B424A1">
        <w:rPr>
          <w:rFonts w:cstheme="minorHAnsi"/>
        </w:rPr>
        <w:t xml:space="preserve">findings </w:t>
      </w:r>
      <w:r w:rsidRPr="00B424A1">
        <w:rPr>
          <w:rFonts w:cstheme="minorHAnsi"/>
        </w:rPr>
        <w:t>differ somewhat from previous studies</w:t>
      </w:r>
      <w:r w:rsidR="00CC3C97" w:rsidRPr="00B424A1">
        <w:rPr>
          <w:rFonts w:cstheme="minorHAnsi"/>
        </w:rPr>
        <w:t xml:space="preserve"> of the DASS</w:t>
      </w:r>
      <w:r w:rsidRPr="00B424A1">
        <w:rPr>
          <w:rFonts w:cstheme="minorHAnsi"/>
        </w:rPr>
        <w:t xml:space="preserve"> which have used different factor analytic </w:t>
      </w:r>
      <w:r w:rsidR="00AC513D">
        <w:rPr>
          <w:rFonts w:cstheme="minorHAnsi"/>
        </w:rPr>
        <w:t>procedures</w:t>
      </w:r>
      <w:r w:rsidR="00F02395" w:rsidRPr="00B424A1">
        <w:rPr>
          <w:rFonts w:cstheme="minorHAnsi"/>
        </w:rPr>
        <w:t>. O</w:t>
      </w:r>
      <w:r w:rsidR="003B6111" w:rsidRPr="00B424A1">
        <w:rPr>
          <w:rFonts w:cstheme="minorHAnsi"/>
        </w:rPr>
        <w:t>ther</w:t>
      </w:r>
      <w:r w:rsidR="00182219" w:rsidRPr="00B424A1">
        <w:rPr>
          <w:rFonts w:cstheme="minorHAnsi"/>
        </w:rPr>
        <w:t xml:space="preserve"> </w:t>
      </w:r>
      <w:r w:rsidR="00F02395" w:rsidRPr="00B424A1">
        <w:rPr>
          <w:rFonts w:cstheme="minorHAnsi"/>
        </w:rPr>
        <w:t xml:space="preserve">researchers </w:t>
      </w:r>
      <w:r w:rsidR="00C959C3" w:rsidRPr="00B424A1">
        <w:rPr>
          <w:rFonts w:cstheme="minorHAnsi"/>
        </w:rPr>
        <w:t xml:space="preserve">may </w:t>
      </w:r>
      <w:r w:rsidR="00F02395" w:rsidRPr="00B424A1">
        <w:rPr>
          <w:rFonts w:cstheme="minorHAnsi"/>
        </w:rPr>
        <w:t xml:space="preserve">have </w:t>
      </w:r>
      <w:r w:rsidR="000C3E7D" w:rsidRPr="00996F86">
        <w:rPr>
          <w:kern w:val="0"/>
          <w:lang w:val="en-GB"/>
        </w:rPr>
        <w:t xml:space="preserve">arrived at different </w:t>
      </w:r>
      <w:r w:rsidR="000C3E7D" w:rsidRPr="00996F86">
        <w:rPr>
          <w:kern w:val="0"/>
          <w:lang w:val="en-GB"/>
        </w:rPr>
        <w:lastRenderedPageBreak/>
        <w:t xml:space="preserve">conclusions as they relied on biased model fit </w:t>
      </w:r>
      <w:r w:rsidR="00AC513D">
        <w:rPr>
          <w:kern w:val="0"/>
          <w:lang w:val="en-GB"/>
        </w:rPr>
        <w:t>indices</w:t>
      </w:r>
      <w:r w:rsidR="00655E56" w:rsidRPr="00996F86">
        <w:rPr>
          <w:kern w:val="0"/>
          <w:lang w:val="en-GB"/>
        </w:rPr>
        <w:t xml:space="preserve"> </w:t>
      </w:r>
      <w:r w:rsidR="000C3E7D" w:rsidRPr="00996F86">
        <w:rPr>
          <w:kern w:val="0"/>
          <w:lang w:val="en-GB"/>
        </w:rPr>
        <w:t>(</w:t>
      </w:r>
      <w:r w:rsidR="00CD5273" w:rsidRPr="00B424A1">
        <w:rPr>
          <w:noProof/>
        </w:rPr>
        <w:t>Henry &amp; Crawford, 2005;</w:t>
      </w:r>
      <w:r w:rsidR="00CD5273" w:rsidRPr="00B424A1">
        <w:rPr>
          <w:i/>
          <w:iCs/>
          <w:noProof/>
        </w:rPr>
        <w:t xml:space="preserve"> </w:t>
      </w:r>
      <w:r w:rsidR="00CD5273" w:rsidRPr="00B424A1">
        <w:rPr>
          <w:noProof/>
        </w:rPr>
        <w:t>Gomez, 2013; Randall et al., 2017; Sinclair et al., 201</w:t>
      </w:r>
      <w:r w:rsidR="00A026E7" w:rsidRPr="00B424A1">
        <w:rPr>
          <w:noProof/>
        </w:rPr>
        <w:t>2</w:t>
      </w:r>
      <w:r w:rsidR="00CD5273" w:rsidRPr="00B424A1">
        <w:rPr>
          <w:noProof/>
        </w:rPr>
        <w:t>; Wong et al., 2013</w:t>
      </w:r>
      <w:r w:rsidR="000C3E7D" w:rsidRPr="00996F86">
        <w:rPr>
          <w:kern w:val="0"/>
          <w:lang w:val="en-GB"/>
        </w:rPr>
        <w:t>).</w:t>
      </w:r>
      <w:r w:rsidR="004515E6" w:rsidRPr="00996F86">
        <w:rPr>
          <w:kern w:val="0"/>
          <w:lang w:val="en-GB"/>
        </w:rPr>
        <w:t xml:space="preserve"> </w:t>
      </w:r>
      <w:r w:rsidR="00CC3C97" w:rsidRPr="00B424A1">
        <w:rPr>
          <w:rFonts w:cstheme="minorHAnsi"/>
        </w:rPr>
        <w:t xml:space="preserve">A </w:t>
      </w:r>
      <w:r w:rsidR="00F02395" w:rsidRPr="00B424A1">
        <w:rPr>
          <w:rFonts w:cstheme="minorHAnsi"/>
        </w:rPr>
        <w:t>previous</w:t>
      </w:r>
      <w:r w:rsidR="004115CF" w:rsidRPr="00B424A1">
        <w:rPr>
          <w:rFonts w:cstheme="minorHAnsi"/>
        </w:rPr>
        <w:t xml:space="preserve"> well-fitting bifactor model of the DASS </w:t>
      </w:r>
      <w:r w:rsidR="00F02395" w:rsidRPr="00B424A1">
        <w:rPr>
          <w:rFonts w:cstheme="minorHAnsi"/>
        </w:rPr>
        <w:t xml:space="preserve">in a TBI </w:t>
      </w:r>
      <w:r w:rsidR="00DC5E6B" w:rsidRPr="00B424A1">
        <w:rPr>
          <w:rFonts w:cstheme="minorHAnsi"/>
        </w:rPr>
        <w:t xml:space="preserve">sample </w:t>
      </w:r>
      <w:r w:rsidR="006170CD" w:rsidRPr="00B424A1">
        <w:rPr>
          <w:rFonts w:cstheme="minorHAnsi"/>
        </w:rPr>
        <w:t>was</w:t>
      </w:r>
      <w:r w:rsidR="004115CF" w:rsidRPr="00B424A1">
        <w:rPr>
          <w:rFonts w:cstheme="minorHAnsi"/>
        </w:rPr>
        <w:t xml:space="preserve"> interpreted as evidence </w:t>
      </w:r>
      <w:r w:rsidR="00125ACD" w:rsidRPr="00B424A1">
        <w:rPr>
          <w:rFonts w:cstheme="minorHAnsi"/>
        </w:rPr>
        <w:t>supporting use of the</w:t>
      </w:r>
      <w:r w:rsidR="004115CF" w:rsidRPr="00B424A1">
        <w:rPr>
          <w:rFonts w:cstheme="minorHAnsi"/>
        </w:rPr>
        <w:t xml:space="preserve"> </w:t>
      </w:r>
      <w:r w:rsidR="00125ACD" w:rsidRPr="00B424A1">
        <w:rPr>
          <w:rFonts w:cstheme="minorHAnsi"/>
        </w:rPr>
        <w:t xml:space="preserve">individual </w:t>
      </w:r>
      <w:r w:rsidR="004115CF" w:rsidRPr="00B424A1">
        <w:rPr>
          <w:rFonts w:cstheme="minorHAnsi"/>
        </w:rPr>
        <w:t>scales</w:t>
      </w:r>
      <w:r w:rsidR="00125ACD" w:rsidRPr="00B424A1">
        <w:rPr>
          <w:rFonts w:cstheme="minorHAnsi"/>
        </w:rPr>
        <w:t xml:space="preserve"> </w:t>
      </w:r>
      <w:r w:rsidR="004115CF" w:rsidRPr="00996F86">
        <w:rPr>
          <w:kern w:val="0"/>
          <w:lang w:val="en-GB"/>
        </w:rPr>
        <w:t>(Randall</w:t>
      </w:r>
      <w:r w:rsidR="00847103" w:rsidRPr="00996F86">
        <w:rPr>
          <w:kern w:val="0"/>
          <w:lang w:val="en-GB"/>
        </w:rPr>
        <w:t xml:space="preserve"> </w:t>
      </w:r>
      <w:r w:rsidR="004115CF" w:rsidRPr="00996F86">
        <w:rPr>
          <w:kern w:val="0"/>
          <w:lang w:val="en-GB"/>
        </w:rPr>
        <w:t xml:space="preserve">et al., 2017). </w:t>
      </w:r>
      <w:r w:rsidR="00F02395" w:rsidRPr="00996F86">
        <w:rPr>
          <w:kern w:val="0"/>
          <w:lang w:val="en-GB"/>
        </w:rPr>
        <w:t>However,</w:t>
      </w:r>
      <w:r w:rsidR="000A46CB" w:rsidRPr="00996F86">
        <w:rPr>
          <w:kern w:val="0"/>
          <w:lang w:val="en-GB"/>
        </w:rPr>
        <w:t xml:space="preserve"> </w:t>
      </w:r>
      <w:r w:rsidR="00402978" w:rsidRPr="00996F86">
        <w:rPr>
          <w:kern w:val="0"/>
          <w:lang w:val="en-GB"/>
        </w:rPr>
        <w:t xml:space="preserve">factor loadings </w:t>
      </w:r>
      <w:r w:rsidR="00125ACD" w:rsidRPr="00996F86">
        <w:rPr>
          <w:kern w:val="0"/>
          <w:lang w:val="en-GB"/>
        </w:rPr>
        <w:t xml:space="preserve">in this analysis </w:t>
      </w:r>
      <w:r w:rsidR="00A71AB1" w:rsidRPr="00996F86">
        <w:rPr>
          <w:kern w:val="0"/>
          <w:lang w:val="en-GB"/>
        </w:rPr>
        <w:t xml:space="preserve">showed that </w:t>
      </w:r>
      <w:r w:rsidR="00B66764" w:rsidRPr="00996F86">
        <w:rPr>
          <w:kern w:val="0"/>
          <w:lang w:val="en-GB"/>
        </w:rPr>
        <w:t xml:space="preserve">most </w:t>
      </w:r>
      <w:r w:rsidR="00125ACD" w:rsidRPr="00996F86">
        <w:rPr>
          <w:kern w:val="0"/>
          <w:lang w:val="en-GB"/>
        </w:rPr>
        <w:t>items</w:t>
      </w:r>
      <w:r w:rsidR="00A71AB1" w:rsidRPr="00996F86">
        <w:rPr>
          <w:kern w:val="0"/>
          <w:lang w:val="en-GB"/>
        </w:rPr>
        <w:t xml:space="preserve"> </w:t>
      </w:r>
      <w:r w:rsidR="00B66764" w:rsidRPr="00996F86">
        <w:rPr>
          <w:kern w:val="0"/>
          <w:lang w:val="en-GB"/>
        </w:rPr>
        <w:t>(</w:t>
      </w:r>
      <w:r w:rsidR="00DC14E8">
        <w:rPr>
          <w:rFonts w:ascii="Abadi" w:hAnsi="Abadi"/>
          <w:kern w:val="0"/>
          <w:lang w:val="en-GB"/>
        </w:rPr>
        <w:t>~</w:t>
      </w:r>
      <w:r w:rsidR="00B66764" w:rsidRPr="00996F86">
        <w:rPr>
          <w:kern w:val="0"/>
          <w:lang w:val="en-GB"/>
        </w:rPr>
        <w:t>8</w:t>
      </w:r>
      <w:r w:rsidR="008678A7" w:rsidRPr="00996F86">
        <w:rPr>
          <w:kern w:val="0"/>
          <w:lang w:val="en-GB"/>
        </w:rPr>
        <w:t>0</w:t>
      </w:r>
      <w:r w:rsidR="00B66764" w:rsidRPr="00996F86">
        <w:rPr>
          <w:kern w:val="0"/>
          <w:lang w:val="en-GB"/>
        </w:rPr>
        <w:t xml:space="preserve">%) </w:t>
      </w:r>
      <w:r w:rsidR="00537F23" w:rsidRPr="00996F86">
        <w:rPr>
          <w:kern w:val="0"/>
          <w:lang w:val="en-GB"/>
        </w:rPr>
        <w:t xml:space="preserve">were </w:t>
      </w:r>
      <w:r w:rsidR="00A31A5F" w:rsidRPr="00996F86">
        <w:rPr>
          <w:kern w:val="0"/>
          <w:lang w:val="en-GB"/>
        </w:rPr>
        <w:t>inadequate</w:t>
      </w:r>
      <w:r w:rsidR="00402978" w:rsidRPr="00996F86">
        <w:rPr>
          <w:kern w:val="0"/>
          <w:lang w:val="en-GB"/>
        </w:rPr>
        <w:t xml:space="preserve"> </w:t>
      </w:r>
      <w:r w:rsidR="00125ACD" w:rsidRPr="00996F86">
        <w:rPr>
          <w:kern w:val="0"/>
          <w:lang w:val="en-GB"/>
        </w:rPr>
        <w:t xml:space="preserve">indicators </w:t>
      </w:r>
      <w:r w:rsidR="00BE4EB0" w:rsidRPr="00996F86">
        <w:rPr>
          <w:kern w:val="0"/>
          <w:lang w:val="en-GB"/>
        </w:rPr>
        <w:t xml:space="preserve">of </w:t>
      </w:r>
      <w:r w:rsidR="00125ACD" w:rsidRPr="00996F86">
        <w:rPr>
          <w:kern w:val="0"/>
          <w:lang w:val="en-GB"/>
        </w:rPr>
        <w:t xml:space="preserve">specific </w:t>
      </w:r>
      <w:r w:rsidR="00BE4EB0" w:rsidRPr="00996F86">
        <w:rPr>
          <w:kern w:val="0"/>
          <w:lang w:val="en-GB"/>
        </w:rPr>
        <w:t>depression, anxiety, or stress</w:t>
      </w:r>
      <w:r w:rsidR="00AC513D">
        <w:rPr>
          <w:kern w:val="0"/>
          <w:lang w:val="en-GB"/>
        </w:rPr>
        <w:t xml:space="preserve"> </w:t>
      </w:r>
      <w:r w:rsidR="0073263E" w:rsidRPr="00996F86">
        <w:rPr>
          <w:kern w:val="0"/>
          <w:lang w:val="en-GB"/>
        </w:rPr>
        <w:t>(</w:t>
      </w:r>
      <w:r w:rsidR="006F3A78" w:rsidRPr="00B424A1">
        <w:rPr>
          <w:rFonts w:eastAsia="HGSMinchoE" w:cstheme="minorHAnsi"/>
        </w:rPr>
        <w:t>λ &lt; .32</w:t>
      </w:r>
      <w:r w:rsidR="00486507" w:rsidRPr="00B424A1">
        <w:rPr>
          <w:rFonts w:eastAsia="HGSMinchoE" w:cstheme="minorHAnsi"/>
        </w:rPr>
        <w:t>)</w:t>
      </w:r>
      <w:r w:rsidR="00AC513D">
        <w:rPr>
          <w:rFonts w:eastAsia="HGSMinchoE" w:cstheme="minorHAnsi"/>
        </w:rPr>
        <w:t xml:space="preserve"> </w:t>
      </w:r>
      <w:r w:rsidR="00AC513D">
        <w:rPr>
          <w:kern w:val="0"/>
          <w:lang w:val="en-GB"/>
        </w:rPr>
        <w:t>in the context of a general distress factor</w:t>
      </w:r>
      <w:r w:rsidR="00A36B4A">
        <w:rPr>
          <w:kern w:val="0"/>
          <w:lang w:val="en-GB"/>
        </w:rPr>
        <w:t xml:space="preserve">. </w:t>
      </w:r>
      <w:r w:rsidR="000545AC" w:rsidRPr="00B424A1">
        <w:rPr>
          <w:rFonts w:cstheme="minorHAnsi"/>
        </w:rPr>
        <w:t>Given</w:t>
      </w:r>
      <w:r w:rsidR="008A18B6" w:rsidRPr="00B424A1">
        <w:t xml:space="preserve"> </w:t>
      </w:r>
      <w:r w:rsidR="00527187">
        <w:t>that traditional model fit indices</w:t>
      </w:r>
      <w:r w:rsidR="00527187" w:rsidRPr="00B424A1">
        <w:t xml:space="preserve"> </w:t>
      </w:r>
      <w:r w:rsidR="00527187">
        <w:t xml:space="preserve">are biased toward </w:t>
      </w:r>
      <w:r w:rsidR="008A18B6" w:rsidRPr="00B424A1">
        <w:t>bifactor models</w:t>
      </w:r>
      <w:r w:rsidR="00527187">
        <w:t xml:space="preserve"> (Bornovalova et al., 2020)</w:t>
      </w:r>
      <w:r w:rsidR="0073367F" w:rsidRPr="00B424A1">
        <w:t xml:space="preserve">, further </w:t>
      </w:r>
      <w:r w:rsidR="00A06F16" w:rsidRPr="00B424A1">
        <w:t xml:space="preserve">scrutiny </w:t>
      </w:r>
      <w:r w:rsidR="00D05DE8" w:rsidRPr="00B424A1">
        <w:t xml:space="preserve">of the </w:t>
      </w:r>
      <w:r w:rsidR="00527187">
        <w:t xml:space="preserve">DASS </w:t>
      </w:r>
      <w:r w:rsidR="00125ACD" w:rsidRPr="00B424A1">
        <w:t>scales is</w:t>
      </w:r>
      <w:r w:rsidR="00430294" w:rsidRPr="00B424A1">
        <w:t xml:space="preserve"> </w:t>
      </w:r>
      <w:r w:rsidR="008A18B6" w:rsidRPr="00B424A1">
        <w:t>warranted</w:t>
      </w:r>
      <w:r w:rsidR="00527187">
        <w:t>.</w:t>
      </w:r>
    </w:p>
    <w:p w14:paraId="6205BB60" w14:textId="0FE2F038" w:rsidR="00C800C0" w:rsidRPr="00C800C0" w:rsidRDefault="00AD7B82" w:rsidP="00C800C0">
      <w:r w:rsidRPr="00C800C0">
        <w:rPr>
          <w:rFonts w:ascii="Times New Roman" w:eastAsia="Times New Roman" w:hAnsi="Times New Roman" w:cs="Times New Roman"/>
          <w:lang w:eastAsia="en-GB"/>
        </w:rPr>
        <w:t>In this regard</w:t>
      </w:r>
      <w:r w:rsidR="001F5668" w:rsidRPr="00C800C0">
        <w:rPr>
          <w:rFonts w:ascii="Times New Roman" w:eastAsia="Times New Roman" w:hAnsi="Times New Roman" w:cs="Times New Roman"/>
          <w:lang w:eastAsia="en-GB"/>
        </w:rPr>
        <w:t>, o</w:t>
      </w:r>
      <w:r w:rsidR="00D05DE8" w:rsidRPr="00C800C0">
        <w:rPr>
          <w:rFonts w:ascii="Times New Roman" w:eastAsia="Times New Roman" w:hAnsi="Times New Roman" w:cs="Times New Roman"/>
          <w:lang w:eastAsia="en-GB"/>
        </w:rPr>
        <w:t>ur findings d</w:t>
      </w:r>
      <w:r w:rsidR="001F5668" w:rsidRPr="00C800C0">
        <w:rPr>
          <w:rFonts w:ascii="Times New Roman" w:eastAsia="Times New Roman" w:hAnsi="Times New Roman" w:cs="Times New Roman"/>
          <w:lang w:eastAsia="en-GB"/>
        </w:rPr>
        <w:t>o</w:t>
      </w:r>
      <w:r w:rsidR="00D05DE8" w:rsidRPr="00C800C0">
        <w:rPr>
          <w:rFonts w:ascii="Times New Roman" w:eastAsia="Times New Roman" w:hAnsi="Times New Roman" w:cs="Times New Roman"/>
          <w:lang w:eastAsia="en-GB"/>
        </w:rPr>
        <w:t xml:space="preserve"> align with studies which </w:t>
      </w:r>
      <w:r w:rsidR="001F5668" w:rsidRPr="00C800C0">
        <w:rPr>
          <w:rFonts w:ascii="Times New Roman" w:eastAsia="Times New Roman" w:hAnsi="Times New Roman" w:cs="Times New Roman"/>
          <w:lang w:eastAsia="en-GB"/>
        </w:rPr>
        <w:t xml:space="preserve">have employed </w:t>
      </w:r>
      <w:r w:rsidR="00D05DE8" w:rsidRPr="00C800C0">
        <w:rPr>
          <w:rFonts w:ascii="Times New Roman" w:eastAsia="Times New Roman" w:hAnsi="Times New Roman" w:cs="Times New Roman"/>
          <w:lang w:eastAsia="en-GB"/>
        </w:rPr>
        <w:t>bifactor statistical indices</w:t>
      </w:r>
      <w:r w:rsidR="001F5668" w:rsidRPr="00C800C0">
        <w:rPr>
          <w:rFonts w:ascii="Times New Roman" w:eastAsia="Times New Roman" w:hAnsi="Times New Roman" w:cs="Times New Roman"/>
          <w:lang w:eastAsia="en-GB"/>
        </w:rPr>
        <w:t xml:space="preserve"> </w:t>
      </w:r>
      <w:r w:rsidR="008678A7" w:rsidRPr="00C800C0">
        <w:rPr>
          <w:rFonts w:ascii="Times New Roman" w:eastAsia="Times New Roman" w:hAnsi="Times New Roman" w:cs="Times New Roman"/>
          <w:lang w:eastAsia="en-GB"/>
        </w:rPr>
        <w:t xml:space="preserve">to </w:t>
      </w:r>
      <w:r w:rsidR="001F5668" w:rsidRPr="00C800C0">
        <w:rPr>
          <w:rFonts w:ascii="Times New Roman" w:eastAsia="Times New Roman" w:hAnsi="Times New Roman" w:cs="Times New Roman"/>
          <w:lang w:eastAsia="en-GB"/>
        </w:rPr>
        <w:t xml:space="preserve">interrogate the </w:t>
      </w:r>
      <w:r w:rsidR="0094263A" w:rsidRPr="00C800C0">
        <w:rPr>
          <w:rFonts w:ascii="Times New Roman" w:eastAsia="Times New Roman" w:hAnsi="Times New Roman" w:cs="Times New Roman"/>
          <w:lang w:eastAsia="en-GB"/>
        </w:rPr>
        <w:t xml:space="preserve">hierarchical </w:t>
      </w:r>
      <w:r w:rsidR="001F5668" w:rsidRPr="00C800C0">
        <w:rPr>
          <w:rFonts w:ascii="Times New Roman" w:eastAsia="Times New Roman" w:hAnsi="Times New Roman" w:cs="Times New Roman"/>
          <w:lang w:eastAsia="en-GB"/>
        </w:rPr>
        <w:t>structure of the DASS</w:t>
      </w:r>
      <w:r w:rsidR="00BD6030" w:rsidRPr="00C800C0">
        <w:rPr>
          <w:rFonts w:ascii="Times New Roman" w:eastAsia="Times New Roman" w:hAnsi="Times New Roman" w:cs="Times New Roman"/>
          <w:lang w:eastAsia="en-GB"/>
        </w:rPr>
        <w:t xml:space="preserve"> more closely</w:t>
      </w:r>
      <w:r w:rsidR="00D05DE8" w:rsidRPr="00C800C0">
        <w:rPr>
          <w:rFonts w:ascii="Times New Roman" w:eastAsia="Times New Roman" w:hAnsi="Times New Roman" w:cs="Times New Roman"/>
          <w:lang w:eastAsia="en-GB"/>
        </w:rPr>
        <w:t xml:space="preserve">. </w:t>
      </w:r>
      <w:r w:rsidR="00F02395" w:rsidRPr="00C800C0">
        <w:rPr>
          <w:rFonts w:ascii="Times New Roman" w:eastAsia="Times New Roman" w:hAnsi="Times New Roman" w:cs="Times New Roman"/>
          <w:lang w:eastAsia="en-GB"/>
        </w:rPr>
        <w:t>Our results</w:t>
      </w:r>
      <w:r w:rsidR="000F7D46" w:rsidRPr="00C800C0">
        <w:rPr>
          <w:rFonts w:ascii="Times New Roman" w:eastAsia="Times New Roman" w:hAnsi="Times New Roman" w:cs="Times New Roman"/>
          <w:lang w:eastAsia="en-GB"/>
        </w:rPr>
        <w:t xml:space="preserve"> </w:t>
      </w:r>
      <w:r w:rsidR="0060319E" w:rsidRPr="00C800C0">
        <w:rPr>
          <w:rFonts w:ascii="Times New Roman" w:eastAsia="Times New Roman" w:hAnsi="Times New Roman" w:cs="Times New Roman"/>
          <w:lang w:eastAsia="en-GB"/>
        </w:rPr>
        <w:t xml:space="preserve">fall within the ranges </w:t>
      </w:r>
      <w:r w:rsidR="007E3405" w:rsidRPr="00C800C0">
        <w:rPr>
          <w:rFonts w:ascii="Times New Roman" w:eastAsia="Times New Roman" w:hAnsi="Times New Roman" w:cs="Times New Roman"/>
          <w:lang w:eastAsia="en-GB"/>
        </w:rPr>
        <w:t>of</w:t>
      </w:r>
      <w:r w:rsidR="00D05DE8" w:rsidRPr="00C800C0">
        <w:rPr>
          <w:rFonts w:ascii="Times New Roman" w:eastAsia="Times New Roman" w:hAnsi="Times New Roman" w:cs="Times New Roman"/>
          <w:lang w:eastAsia="en-GB"/>
        </w:rPr>
        <w:t xml:space="preserve"> </w:t>
      </w:r>
      <w:r w:rsidR="00F02395" w:rsidRPr="00C800C0">
        <w:rPr>
          <w:rFonts w:ascii="Times New Roman" w:eastAsia="Times New Roman" w:hAnsi="Times New Roman" w:cs="Times New Roman"/>
          <w:lang w:eastAsia="en-GB"/>
        </w:rPr>
        <w:t xml:space="preserve">previously reported </w:t>
      </w:r>
      <w:r w:rsidR="00D05DE8" w:rsidRPr="00C800C0">
        <w:rPr>
          <w:rFonts w:ascii="Times New Roman" w:eastAsia="Times New Roman" w:hAnsi="Times New Roman" w:cs="Times New Roman"/>
          <w:lang w:eastAsia="en-GB"/>
        </w:rPr>
        <w:t>o</w:t>
      </w:r>
      <w:r w:rsidR="00F8046A" w:rsidRPr="00C800C0">
        <w:rPr>
          <w:rFonts w:ascii="Times New Roman" w:eastAsia="Times New Roman" w:hAnsi="Times New Roman" w:cs="Times New Roman"/>
          <w:lang w:eastAsia="en-GB"/>
        </w:rPr>
        <w:t xml:space="preserve">mega </w:t>
      </w:r>
      <w:r w:rsidR="00DE07EA" w:rsidRPr="00C800C0">
        <w:rPr>
          <w:rFonts w:ascii="Times New Roman" w:eastAsia="Times New Roman" w:hAnsi="Times New Roman" w:cs="Times New Roman"/>
          <w:lang w:eastAsia="en-GB"/>
        </w:rPr>
        <w:t xml:space="preserve">hierarchical </w:t>
      </w:r>
      <w:r w:rsidR="00195A67" w:rsidRPr="00C800C0">
        <w:rPr>
          <w:noProof/>
        </w:rPr>
        <w:t xml:space="preserve">reliability coefficients </w:t>
      </w:r>
      <w:r w:rsidR="00537F23" w:rsidRPr="00C800C0">
        <w:rPr>
          <w:rFonts w:ascii="Times New Roman" w:eastAsia="Times New Roman" w:hAnsi="Times New Roman" w:cs="Times New Roman"/>
          <w:lang w:eastAsia="en-GB"/>
        </w:rPr>
        <w:t xml:space="preserve">obtained </w:t>
      </w:r>
      <w:r w:rsidR="00131E08" w:rsidRPr="00C800C0">
        <w:t>in non-TBI samples</w:t>
      </w:r>
      <w:r w:rsidR="00C800C0" w:rsidRPr="00C800C0">
        <w:t xml:space="preserve">: general distress </w:t>
      </w:r>
      <w:r w:rsidR="00C800C0" w:rsidRPr="00C800C0">
        <w:rPr>
          <w:rFonts w:cstheme="minorHAnsi"/>
        </w:rPr>
        <w:t>ω</w:t>
      </w:r>
      <w:r w:rsidR="00C800C0" w:rsidRPr="00C800C0">
        <w:rPr>
          <w:i/>
          <w:iCs/>
          <w:vertAlign w:val="subscript"/>
        </w:rPr>
        <w:t>h</w:t>
      </w:r>
      <w:r w:rsidR="00C800C0" w:rsidRPr="00C800C0">
        <w:t xml:space="preserve"> in TBI = .88 (previous studies = .82–.96), depression </w:t>
      </w:r>
      <w:r w:rsidR="00C800C0" w:rsidRPr="00C800C0">
        <w:rPr>
          <w:rFonts w:cstheme="minorHAnsi"/>
        </w:rPr>
        <w:t>ω</w:t>
      </w:r>
      <w:r w:rsidR="00C800C0" w:rsidRPr="00C800C0">
        <w:rPr>
          <w:i/>
          <w:iCs/>
          <w:vertAlign w:val="subscript"/>
        </w:rPr>
        <w:t>hs</w:t>
      </w:r>
      <w:r w:rsidR="00C800C0" w:rsidRPr="00C800C0">
        <w:t xml:space="preserve"> in TBI = .27 (previous studies .03–.32), anxiety </w:t>
      </w:r>
      <w:r w:rsidR="00C800C0" w:rsidRPr="00C800C0">
        <w:rPr>
          <w:rFonts w:cstheme="minorHAnsi"/>
        </w:rPr>
        <w:t>ω</w:t>
      </w:r>
      <w:r w:rsidR="00C800C0" w:rsidRPr="00C800C0">
        <w:rPr>
          <w:i/>
          <w:iCs/>
          <w:vertAlign w:val="subscript"/>
        </w:rPr>
        <w:t>hs</w:t>
      </w:r>
      <w:r w:rsidR="00C800C0" w:rsidRPr="00C800C0">
        <w:t xml:space="preserve"> in TBI = .11 (previous studies .01–.20), </w:t>
      </w:r>
      <w:r w:rsidR="004E0991">
        <w:t xml:space="preserve">and </w:t>
      </w:r>
      <w:r w:rsidR="00C800C0" w:rsidRPr="00C800C0">
        <w:t xml:space="preserve">stress </w:t>
      </w:r>
      <w:r w:rsidR="00C800C0" w:rsidRPr="00C800C0">
        <w:rPr>
          <w:rFonts w:cstheme="minorHAnsi"/>
        </w:rPr>
        <w:t>ω</w:t>
      </w:r>
      <w:r w:rsidR="00C800C0" w:rsidRPr="00C800C0">
        <w:rPr>
          <w:i/>
          <w:iCs/>
          <w:vertAlign w:val="subscript"/>
        </w:rPr>
        <w:t>hs</w:t>
      </w:r>
      <w:r w:rsidR="00C800C0" w:rsidRPr="00C800C0">
        <w:t xml:space="preserve"> in TBI = .13 (previous studies = .003–.22), </w:t>
      </w:r>
      <w:r w:rsidR="00A96ACF" w:rsidRPr="00C800C0">
        <w:rPr>
          <w:noProof/>
        </w:rPr>
        <w:t>highlighting the relative dominance of the DASS general factor</w:t>
      </w:r>
      <w:r w:rsidR="00C800C0" w:rsidRPr="00C800C0">
        <w:rPr>
          <w:noProof/>
        </w:rPr>
        <w:t xml:space="preserve"> across different populations (</w:t>
      </w:r>
      <w:r w:rsidR="00C800C0" w:rsidRPr="00C800C0">
        <w:rPr>
          <w:rFonts w:ascii="Times New Roman" w:hAnsi="Times New Roman" w:cs="Times New Roman"/>
        </w:rPr>
        <w:t>Bottesi et al., 2015; Chen et al., 2023; Gomez et al., 2020; Jovanovi</w:t>
      </w:r>
      <w:r w:rsidR="00EB4A16">
        <w:rPr>
          <w:rFonts w:ascii="Times New Roman" w:hAnsi="Times New Roman" w:cs="Times New Roman"/>
        </w:rPr>
        <w:t>ć</w:t>
      </w:r>
      <w:r w:rsidR="00C800C0" w:rsidRPr="00C800C0">
        <w:rPr>
          <w:rFonts w:ascii="Times New Roman" w:hAnsi="Times New Roman" w:cs="Times New Roman"/>
        </w:rPr>
        <w:t xml:space="preserve"> et al., 2021; Kia-Keating et al., 2018; </w:t>
      </w:r>
      <w:proofErr w:type="spellStart"/>
      <w:r w:rsidR="00EB4A16">
        <w:rPr>
          <w:rFonts w:ascii="Times New Roman" w:hAnsi="Times New Roman" w:cs="Times New Roman"/>
        </w:rPr>
        <w:t>Koğar</w:t>
      </w:r>
      <w:proofErr w:type="spellEnd"/>
      <w:r w:rsidR="00EB4A16">
        <w:rPr>
          <w:rFonts w:ascii="Times New Roman" w:hAnsi="Times New Roman" w:cs="Times New Roman"/>
        </w:rPr>
        <w:t xml:space="preserve"> &amp; </w:t>
      </w:r>
      <w:proofErr w:type="spellStart"/>
      <w:r w:rsidR="00EB4A16">
        <w:rPr>
          <w:rFonts w:ascii="Times New Roman" w:hAnsi="Times New Roman" w:cs="Times New Roman"/>
        </w:rPr>
        <w:t>Koğar</w:t>
      </w:r>
      <w:proofErr w:type="spellEnd"/>
      <w:r w:rsidR="00C800C0" w:rsidRPr="00C800C0">
        <w:rPr>
          <w:rFonts w:ascii="Times New Roman" w:hAnsi="Times New Roman" w:cs="Times New Roman"/>
        </w:rPr>
        <w:t xml:space="preserve">, 2023; </w:t>
      </w:r>
      <w:r w:rsidR="00C800C0" w:rsidRPr="00C800C0">
        <w:rPr>
          <w:rFonts w:ascii="Times New Roman" w:hAnsi="Times New Roman" w:cs="Times New Roman"/>
          <w:noProof/>
        </w:rPr>
        <w:t>Marshall et al., 2018; Mihic et al., 2021; Moore et al., 2017; Murphy et al., 2023; Naumova, 2022; Peixoto et al., 2022; Shaw et al., 201</w:t>
      </w:r>
      <w:r w:rsidR="00943049">
        <w:rPr>
          <w:rFonts w:ascii="Times New Roman" w:hAnsi="Times New Roman" w:cs="Times New Roman"/>
          <w:noProof/>
        </w:rPr>
        <w:t>7</w:t>
      </w:r>
      <w:r w:rsidR="00C800C0" w:rsidRPr="00C800C0">
        <w:rPr>
          <w:rFonts w:ascii="Times New Roman" w:hAnsi="Times New Roman" w:cs="Times New Roman"/>
          <w:noProof/>
        </w:rPr>
        <w:t xml:space="preserve">; Zanon et al., 2021). </w:t>
      </w:r>
      <w:r w:rsidR="00EE684B" w:rsidRPr="00C800C0">
        <w:rPr>
          <w:rFonts w:ascii="Times New Roman" w:eastAsia="Times New Roman" w:hAnsi="Times New Roman" w:cs="Times New Roman"/>
          <w:lang w:eastAsia="en-GB"/>
        </w:rPr>
        <w:t xml:space="preserve">Our dimensionality </w:t>
      </w:r>
      <w:r w:rsidR="000B1910" w:rsidRPr="00C800C0">
        <w:rPr>
          <w:rFonts w:ascii="Times New Roman" w:eastAsia="Times New Roman" w:hAnsi="Times New Roman" w:cs="Times New Roman"/>
          <w:lang w:eastAsia="en-GB"/>
        </w:rPr>
        <w:t xml:space="preserve">results </w:t>
      </w:r>
      <w:r w:rsidR="00A96ACF" w:rsidRPr="00C800C0">
        <w:t>are also consistent with the values</w:t>
      </w:r>
      <w:r w:rsidR="003A431E" w:rsidRPr="00C800C0">
        <w:t xml:space="preserve"> </w:t>
      </w:r>
      <w:r w:rsidR="004E0991">
        <w:t xml:space="preserve">previously </w:t>
      </w:r>
      <w:r w:rsidR="00125ACD" w:rsidRPr="00C800C0">
        <w:t>reported</w:t>
      </w:r>
      <w:r w:rsidR="003A431E" w:rsidRPr="00C800C0">
        <w:t xml:space="preserve"> </w:t>
      </w:r>
      <w:r w:rsidR="00C800C0" w:rsidRPr="00C800C0">
        <w:t>in non-TBI samples, including a large meta-analysis: ECV</w:t>
      </w:r>
      <w:r w:rsidR="00C800C0" w:rsidRPr="00C800C0">
        <w:rPr>
          <w:vertAlign w:val="subscript"/>
        </w:rPr>
        <w:t>General Distress</w:t>
      </w:r>
      <w:r w:rsidR="00C800C0" w:rsidRPr="00C800C0">
        <w:t xml:space="preserve"> in TBI = .75 (previous studies = .70–.97), S-ECV</w:t>
      </w:r>
      <w:r w:rsidR="00C800C0" w:rsidRPr="00C800C0">
        <w:rPr>
          <w:vertAlign w:val="subscript"/>
        </w:rPr>
        <w:t>Depression</w:t>
      </w:r>
      <w:r w:rsidR="00C800C0" w:rsidRPr="00C800C0">
        <w:t xml:space="preserve"> in TBI = .11 (previous studies = .08–.24), ECV</w:t>
      </w:r>
      <w:r w:rsidR="00C800C0" w:rsidRPr="00C800C0">
        <w:rPr>
          <w:vertAlign w:val="subscript"/>
        </w:rPr>
        <w:t>Anxiety</w:t>
      </w:r>
      <w:r w:rsidR="00C800C0" w:rsidRPr="00C800C0">
        <w:t xml:space="preserve"> in TBI = .07 (previous studies = .06–.21), ECV</w:t>
      </w:r>
      <w:r w:rsidR="00C800C0" w:rsidRPr="00C800C0">
        <w:rPr>
          <w:vertAlign w:val="subscript"/>
        </w:rPr>
        <w:t>Stress</w:t>
      </w:r>
      <w:r w:rsidR="00C800C0" w:rsidRPr="00C800C0">
        <w:t xml:space="preserve"> in TBI = .07 (previous studies = .02–.11), and ARPB in TBI = .09 (previous study = .05), </w:t>
      </w:r>
      <w:r w:rsidR="004E0991">
        <w:t>indicating that</w:t>
      </w:r>
      <w:r w:rsidR="00DC14E8">
        <w:t xml:space="preserve">, across different populations, </w:t>
      </w:r>
      <w:r w:rsidR="004E0991">
        <w:t>the</w:t>
      </w:r>
      <w:r w:rsidR="00C800C0" w:rsidRPr="00C800C0">
        <w:t xml:space="preserve"> DASS can be </w:t>
      </w:r>
      <w:r w:rsidR="00C800C0" w:rsidRPr="00C800C0">
        <w:rPr>
          <w:rFonts w:ascii="Times New Roman" w:hAnsi="Times New Roman" w:cs="Times New Roman"/>
          <w:lang w:eastAsia="en-GB"/>
        </w:rPr>
        <w:t>considered essentially unidimensional, adequately captured by a single factor alone (Chen et al., 2023; Gomez et al., 2020; Jovanovi</w:t>
      </w:r>
      <w:r w:rsidR="00EB4A16">
        <w:rPr>
          <w:rFonts w:ascii="Times New Roman" w:hAnsi="Times New Roman" w:cs="Times New Roman"/>
        </w:rPr>
        <w:t>ć</w:t>
      </w:r>
      <w:r w:rsidR="00C800C0" w:rsidRPr="00C800C0">
        <w:rPr>
          <w:rFonts w:ascii="Times New Roman" w:hAnsi="Times New Roman" w:cs="Times New Roman"/>
          <w:lang w:eastAsia="en-GB"/>
        </w:rPr>
        <w:t xml:space="preserve"> et al., 2021; Kia-Keating et al., 2017; </w:t>
      </w:r>
      <w:proofErr w:type="spellStart"/>
      <w:r w:rsidR="00EB4A16">
        <w:rPr>
          <w:rFonts w:ascii="Times New Roman" w:hAnsi="Times New Roman" w:cs="Times New Roman"/>
        </w:rPr>
        <w:lastRenderedPageBreak/>
        <w:t>Koğar</w:t>
      </w:r>
      <w:proofErr w:type="spellEnd"/>
      <w:r w:rsidR="00EB4A16">
        <w:rPr>
          <w:rFonts w:ascii="Times New Roman" w:hAnsi="Times New Roman" w:cs="Times New Roman"/>
        </w:rPr>
        <w:t xml:space="preserve"> &amp; </w:t>
      </w:r>
      <w:proofErr w:type="spellStart"/>
      <w:r w:rsidR="00EB4A16">
        <w:rPr>
          <w:rFonts w:ascii="Times New Roman" w:hAnsi="Times New Roman" w:cs="Times New Roman"/>
        </w:rPr>
        <w:t>Koğar</w:t>
      </w:r>
      <w:proofErr w:type="spellEnd"/>
      <w:r w:rsidR="00C800C0" w:rsidRPr="00C800C0">
        <w:rPr>
          <w:rFonts w:ascii="Times New Roman" w:hAnsi="Times New Roman" w:cs="Times New Roman"/>
          <w:lang w:eastAsia="en-GB"/>
        </w:rPr>
        <w:t>, 2023; Moore et al., 2017; Murphy et al., 2023; Naumova, 2022; Shaw et al., 201</w:t>
      </w:r>
      <w:r w:rsidR="00943049">
        <w:rPr>
          <w:rFonts w:ascii="Times New Roman" w:hAnsi="Times New Roman" w:cs="Times New Roman"/>
          <w:lang w:eastAsia="en-GB"/>
        </w:rPr>
        <w:t>7</w:t>
      </w:r>
      <w:r w:rsidR="00C800C0" w:rsidRPr="00C800C0">
        <w:rPr>
          <w:rFonts w:ascii="Times New Roman" w:hAnsi="Times New Roman" w:cs="Times New Roman"/>
          <w:lang w:eastAsia="en-GB"/>
        </w:rPr>
        <w:t>; Yeung et al., 2020; Zanon et al., 2021).</w:t>
      </w:r>
    </w:p>
    <w:p w14:paraId="50F13863" w14:textId="78F01956" w:rsidR="00926CF7" w:rsidRPr="00FA7B3C" w:rsidRDefault="00C164BC" w:rsidP="00C800C0">
      <w:r w:rsidRPr="00FA7B3C">
        <w:t xml:space="preserve">Aspects of the TBI experience may </w:t>
      </w:r>
      <w:r w:rsidR="00FA7B3C">
        <w:t>lead to</w:t>
      </w:r>
      <w:r w:rsidRPr="00FA7B3C">
        <w:t xml:space="preserve"> high rates of diverse and non-specific </w:t>
      </w:r>
      <w:r w:rsidR="00FA7B3C" w:rsidRPr="00FA7B3C">
        <w:t>psychopathological symptoms</w:t>
      </w:r>
      <w:r w:rsidRPr="00FA7B3C">
        <w:t xml:space="preserve">, </w:t>
      </w:r>
      <w:r w:rsidR="00FA7B3C">
        <w:t>potentially</w:t>
      </w:r>
      <w:r w:rsidRPr="00FA7B3C">
        <w:t xml:space="preserve"> </w:t>
      </w:r>
      <w:r w:rsidR="00DC14E8">
        <w:t>contributing to the limited</w:t>
      </w:r>
      <w:r w:rsidRPr="00FA7B3C">
        <w:t xml:space="preserve"> discriminability of the conventional DASS scales and dominance of the general factor in this population. </w:t>
      </w:r>
      <w:r w:rsidR="00FA7B3C" w:rsidRPr="00FA7B3C">
        <w:t>In particular, s</w:t>
      </w:r>
      <w:r w:rsidRPr="00FA7B3C">
        <w:t xml:space="preserve">ustaining a moderate-severe TBI is </w:t>
      </w:r>
      <w:r w:rsidR="00FA7B3C" w:rsidRPr="00FA7B3C">
        <w:t>an often stressful, life-altering event</w:t>
      </w:r>
      <w:r w:rsidR="00FA7B3C">
        <w:t>;</w:t>
      </w:r>
      <w:r w:rsidR="00FA7B3C" w:rsidRPr="00FA7B3C">
        <w:t xml:space="preserve"> such events are known to produce non-specific elevations in </w:t>
      </w:r>
      <w:r w:rsidR="00FA7B3C">
        <w:t>various</w:t>
      </w:r>
      <w:r w:rsidR="00FA7B3C" w:rsidRPr="00FA7B3C">
        <w:t xml:space="preserve"> psychopathological symptoms (Dahm et al., 2013; Hankin et al., 2016). </w:t>
      </w:r>
      <w:r w:rsidR="00FA7B3C">
        <w:t>Besides the injury’s highly stressful nature</w:t>
      </w:r>
      <w:r w:rsidR="00FA7B3C" w:rsidRPr="00FA7B3C">
        <w:t>, individuals with moderate-severe TBI have elevated levels of other risk factors shared across psychiatric diagnoses</w:t>
      </w:r>
      <w:r w:rsidR="00FA7B3C">
        <w:t>, including</w:t>
      </w:r>
      <w:r w:rsidR="00FA7B3C" w:rsidRPr="00FA7B3C">
        <w:t xml:space="preserve"> low self-esteem, cognitive impairments (especially executive dysfunction), emotional dysregulation, avoidance behaviors, abnormalities in </w:t>
      </w:r>
      <w:r w:rsidR="00FA7B3C">
        <w:t xml:space="preserve">the brain’s </w:t>
      </w:r>
      <w:r w:rsidR="00FA7B3C" w:rsidRPr="00FA7B3C">
        <w:t xml:space="preserve">emotional processing circuitry, and neuroinflammation (Feiger et al., 2022; Carroll &amp; Coetzer, 2011; Gracey et al., 2016; Huey et al., 2016; Shields et al., 2016; Whiting et al., 2017). Additionally, </w:t>
      </w:r>
      <w:r w:rsidR="00FA7B3C">
        <w:t>some</w:t>
      </w:r>
      <w:r w:rsidR="00FA7B3C" w:rsidRPr="00FA7B3C">
        <w:t xml:space="preserve"> DASS </w:t>
      </w:r>
      <w:r w:rsidR="00FA7B3C">
        <w:t xml:space="preserve">items </w:t>
      </w:r>
      <w:r w:rsidR="00FA7B3C" w:rsidRPr="00FA7B3C">
        <w:t xml:space="preserve">overlap with the direct physiological consequences of the injury; for example, the depression scale item about difficulty initiating may be endorsed due to executive dysfunction and apathy resulting from TBI, </w:t>
      </w:r>
      <w:r w:rsidR="00FA7B3C">
        <w:t>rather than the</w:t>
      </w:r>
      <w:r w:rsidR="00FA7B3C" w:rsidRPr="00FA7B3C">
        <w:t xml:space="preserve"> presence of a depressive syndrome. </w:t>
      </w:r>
      <w:r w:rsidR="00FA7B3C">
        <w:t>However, it bears repeating that our bifactor statistical indices align with values obtained from previous studies in non-TBI, predominately non-clinical samples. Hence, we attribute our findings not solely to the unique experiences of the TBI population but also to the psychometrics of the DASS</w:t>
      </w:r>
      <w:r w:rsidR="00DC14E8">
        <w:t xml:space="preserve"> more generally.</w:t>
      </w:r>
    </w:p>
    <w:p w14:paraId="1D0C0D78" w14:textId="3313E5C1" w:rsidR="00272934" w:rsidRPr="00272934" w:rsidRDefault="006C20A2" w:rsidP="00272934">
      <w:pPr>
        <w:ind w:firstLine="0"/>
        <w:rPr>
          <w:b/>
          <w:bCs/>
        </w:rPr>
      </w:pPr>
      <w:r>
        <w:rPr>
          <w:b/>
          <w:bCs/>
        </w:rPr>
        <w:t>Potential Utility of the</w:t>
      </w:r>
      <w:r w:rsidR="00272934">
        <w:rPr>
          <w:b/>
          <w:bCs/>
        </w:rPr>
        <w:t xml:space="preserve"> DASS Depression Scale</w:t>
      </w:r>
      <w:r>
        <w:rPr>
          <w:b/>
          <w:bCs/>
        </w:rPr>
        <w:t xml:space="preserve"> in TBI</w:t>
      </w:r>
    </w:p>
    <w:p w14:paraId="54B8A6C4" w14:textId="2451C125" w:rsidR="00272934" w:rsidRDefault="00272934" w:rsidP="00272934">
      <w:r>
        <w:t>Among the</w:t>
      </w:r>
      <w:r w:rsidR="00195A67" w:rsidRPr="00B369FF">
        <w:t xml:space="preserve"> conventional DASS scales,</w:t>
      </w:r>
      <w:r>
        <w:t xml:space="preserve"> our study identified the depression scale as the best performing</w:t>
      </w:r>
      <w:r w:rsidR="00195A67" w:rsidRPr="00B369FF">
        <w:t xml:space="preserve"> after </w:t>
      </w:r>
      <w:r>
        <w:t>accounting</w:t>
      </w:r>
      <w:r w:rsidR="00195A67" w:rsidRPr="00B369FF">
        <w:t xml:space="preserve"> for the general factor</w:t>
      </w:r>
      <w:r w:rsidR="00F35DF4" w:rsidRPr="00B369FF">
        <w:t>’s influence</w:t>
      </w:r>
      <w:r w:rsidR="00195A67" w:rsidRPr="00B369FF">
        <w:t xml:space="preserve">. </w:t>
      </w:r>
      <w:r w:rsidR="00B369FF">
        <w:rPr>
          <w:rFonts w:eastAsia="Times New Roman" w:cstheme="minorHAnsi"/>
          <w:lang w:eastAsia="en-GB"/>
        </w:rPr>
        <w:t>U</w:t>
      </w:r>
      <w:r w:rsidR="00B369FF" w:rsidRPr="00B424A1">
        <w:rPr>
          <w:rFonts w:eastAsia="Times New Roman" w:cstheme="minorHAnsi"/>
          <w:lang w:eastAsia="en-GB"/>
        </w:rPr>
        <w:t>sing standard benchmarks in the literature</w:t>
      </w:r>
      <w:r w:rsidR="00B369FF">
        <w:rPr>
          <w:rFonts w:eastAsia="Times New Roman" w:cstheme="minorHAnsi"/>
          <w:lang w:eastAsia="en-GB"/>
        </w:rPr>
        <w:t xml:space="preserve">, the depression scale </w:t>
      </w:r>
      <w:r w:rsidR="00B369FF" w:rsidRPr="00B424A1">
        <w:rPr>
          <w:rFonts w:eastAsia="Times New Roman" w:cstheme="minorHAnsi"/>
          <w:lang w:eastAsia="en-GB"/>
        </w:rPr>
        <w:t xml:space="preserve">did not </w:t>
      </w:r>
      <w:r w:rsidR="00F20EE2">
        <w:rPr>
          <w:rFonts w:eastAsia="Times New Roman" w:cstheme="minorHAnsi"/>
          <w:lang w:eastAsia="en-GB"/>
        </w:rPr>
        <w:t>index a</w:t>
      </w:r>
      <w:r w:rsidR="00B369FF" w:rsidRPr="00B424A1">
        <w:rPr>
          <w:rFonts w:eastAsia="Times New Roman" w:cstheme="minorHAnsi"/>
          <w:lang w:eastAsia="en-GB"/>
        </w:rPr>
        <w:t xml:space="preserve"> </w:t>
      </w:r>
      <w:r w:rsidR="00F20EE2">
        <w:rPr>
          <w:rFonts w:eastAsia="Times New Roman" w:cstheme="minorHAnsi"/>
          <w:lang w:eastAsia="en-GB"/>
        </w:rPr>
        <w:t xml:space="preserve">sufficiently </w:t>
      </w:r>
      <w:r w:rsidR="00B369FF" w:rsidRPr="00B424A1">
        <w:rPr>
          <w:rFonts w:eastAsia="Times New Roman" w:cstheme="minorHAnsi"/>
          <w:lang w:eastAsia="en-GB"/>
        </w:rPr>
        <w:t>reliable, coherent specifi</w:t>
      </w:r>
      <w:r w:rsidR="006C20A2">
        <w:rPr>
          <w:rFonts w:eastAsia="Times New Roman" w:cstheme="minorHAnsi"/>
          <w:lang w:eastAsia="en-GB"/>
        </w:rPr>
        <w:t>c</w:t>
      </w:r>
      <w:r w:rsidR="00B369FF" w:rsidRPr="00B424A1">
        <w:rPr>
          <w:rFonts w:eastAsia="Times New Roman" w:cstheme="minorHAnsi"/>
          <w:lang w:eastAsia="en-GB"/>
        </w:rPr>
        <w:t xml:space="preserve"> factor</w:t>
      </w:r>
      <w:r w:rsidR="00B369FF">
        <w:rPr>
          <w:rFonts w:eastAsia="Times New Roman" w:cstheme="minorHAnsi"/>
          <w:lang w:eastAsia="en-GB"/>
        </w:rPr>
        <w:t xml:space="preserve"> in TBI</w:t>
      </w:r>
      <w:r w:rsidR="00B369FF" w:rsidRPr="00B424A1">
        <w:rPr>
          <w:rFonts w:eastAsia="Times New Roman" w:cstheme="minorHAnsi"/>
          <w:lang w:eastAsia="en-GB"/>
        </w:rPr>
        <w:t xml:space="preserve"> for either the DASS21 or DASS42</w:t>
      </w:r>
      <w:r w:rsidR="00B369FF">
        <w:rPr>
          <w:rFonts w:eastAsia="Times New Roman" w:cstheme="minorHAnsi"/>
          <w:lang w:eastAsia="en-GB"/>
        </w:rPr>
        <w:t xml:space="preserve">. However, </w:t>
      </w:r>
      <w:r w:rsidR="00F35DF4" w:rsidRPr="00B369FF">
        <w:t xml:space="preserve">it is noteworthy </w:t>
      </w:r>
      <w:r w:rsidR="00F35DF4" w:rsidRPr="00B369FF">
        <w:lastRenderedPageBreak/>
        <w:t>that th</w:t>
      </w:r>
      <w:r w:rsidR="00A47C58">
        <w:t>is</w:t>
      </w:r>
      <w:r w:rsidR="00F35DF4" w:rsidRPr="00B369FF">
        <w:t xml:space="preserve"> scale </w:t>
      </w:r>
      <w:r>
        <w:t xml:space="preserve">exhibited </w:t>
      </w:r>
      <w:r w:rsidR="00F35DF4" w:rsidRPr="00B369FF">
        <w:t>stronger item loadings and higher ω</w:t>
      </w:r>
      <w:r w:rsidR="00F35DF4" w:rsidRPr="00B369FF">
        <w:rPr>
          <w:i/>
          <w:iCs/>
          <w:vertAlign w:val="subscript"/>
        </w:rPr>
        <w:t>hs</w:t>
      </w:r>
      <w:r w:rsidR="00F35DF4" w:rsidRPr="00B369FF">
        <w:t xml:space="preserve">, S-ECV, and VAR values </w:t>
      </w:r>
      <w:r>
        <w:t>compared to the</w:t>
      </w:r>
      <w:r w:rsidR="00F35DF4" w:rsidRPr="00B369FF">
        <w:t xml:space="preserve"> anxiety and stress scales,</w:t>
      </w:r>
      <w:r w:rsidR="00B369FF" w:rsidRPr="00B369FF">
        <w:t xml:space="preserve"> with the exception that the DASS42 anxiety scale </w:t>
      </w:r>
      <w:r>
        <w:t>had the highest</w:t>
      </w:r>
      <w:r w:rsidR="00B369FF" w:rsidRPr="00B369FF">
        <w:t xml:space="preserve"> </w:t>
      </w:r>
      <w:r w:rsidR="00B369FF" w:rsidRPr="00B369FF">
        <w:rPr>
          <w:i/>
          <w:iCs/>
        </w:rPr>
        <w:t>ω</w:t>
      </w:r>
      <w:r w:rsidR="00B369FF" w:rsidRPr="00B369FF">
        <w:rPr>
          <w:vertAlign w:val="subscript"/>
        </w:rPr>
        <w:t>hs</w:t>
      </w:r>
      <w:r>
        <w:t xml:space="preserve"> value</w:t>
      </w:r>
      <w:r w:rsidR="00B369FF" w:rsidRPr="00B369FF">
        <w:t>. Furthermore,</w:t>
      </w:r>
      <w:r w:rsidR="00F35DF4" w:rsidRPr="00B369FF">
        <w:t xml:space="preserve"> item-level analysis (i.e., I-ECV and RPB) suggested</w:t>
      </w:r>
      <w:r w:rsidR="00A47C58">
        <w:t xml:space="preserve"> that</w:t>
      </w:r>
      <w:r w:rsidR="00F35DF4" w:rsidRPr="00B369FF">
        <w:t xml:space="preserve"> multidimensionality within the DASS data structure </w:t>
      </w:r>
      <w:r w:rsidR="00F20EE2">
        <w:t xml:space="preserve">in TBI </w:t>
      </w:r>
      <w:r w:rsidR="00F35DF4" w:rsidRPr="00B369FF">
        <w:t xml:space="preserve">may be </w:t>
      </w:r>
      <w:r w:rsidR="00B369FF">
        <w:t xml:space="preserve">mostly </w:t>
      </w:r>
      <w:r w:rsidR="00F35DF4" w:rsidRPr="00B369FF">
        <w:t>attributed to</w:t>
      </w:r>
      <w:r>
        <w:t xml:space="preserve"> depression scale items</w:t>
      </w:r>
      <w:r w:rsidR="00B369FF" w:rsidRPr="00B369FF">
        <w:t xml:space="preserve">, including </w:t>
      </w:r>
      <w:r w:rsidR="00B369FF">
        <w:t xml:space="preserve">those </w:t>
      </w:r>
      <w:r w:rsidR="00B369FF" w:rsidRPr="00B369FF">
        <w:t xml:space="preserve">addressing anhedonia, hopelessness, lack of interest/involvement, self-deprecation, and devaluation of life. </w:t>
      </w:r>
    </w:p>
    <w:p w14:paraId="7DC53A33" w14:textId="50F02DE3" w:rsidR="00272934" w:rsidRDefault="00B369FF" w:rsidP="00272934">
      <w:r w:rsidRPr="00B369FF">
        <w:t>T</w:t>
      </w:r>
      <w:r w:rsidR="00F35DF4" w:rsidRPr="00B369FF">
        <w:t xml:space="preserve">hese findings </w:t>
      </w:r>
      <w:r w:rsidR="00272934">
        <w:t>align with</w:t>
      </w:r>
      <w:r w:rsidR="00F35DF4" w:rsidRPr="00B369FF">
        <w:t xml:space="preserve"> previous evaluations of the DASS in non-TBI samples</w:t>
      </w:r>
      <w:r w:rsidR="00272934">
        <w:t xml:space="preserve">, </w:t>
      </w:r>
      <w:r w:rsidR="00F35DF4" w:rsidRPr="00B369FF">
        <w:t>suggesting that the instrument</w:t>
      </w:r>
      <w:r w:rsidR="00A47C58">
        <w:t xml:space="preserve"> shows </w:t>
      </w:r>
      <w:r w:rsidR="00F20EE2">
        <w:t xml:space="preserve">potential </w:t>
      </w:r>
      <w:r w:rsidR="00A47C58">
        <w:t>for</w:t>
      </w:r>
      <w:r w:rsidR="00F35DF4" w:rsidRPr="00B369FF">
        <w:t xml:space="preserve"> differentiat</w:t>
      </w:r>
      <w:r w:rsidR="00A47C58">
        <w:t>ing</w:t>
      </w:r>
      <w:r w:rsidR="00F35DF4" w:rsidRPr="00B369FF">
        <w:t xml:space="preserve"> depression from more generalized emotional distress (Mihic et al., 2021; Moore et al., 2017; Naumova, 2022)</w:t>
      </w:r>
      <w:r w:rsidR="00272934">
        <w:t xml:space="preserve">. A </w:t>
      </w:r>
      <w:r w:rsidR="00F35DF4" w:rsidRPr="00B369FF">
        <w:t xml:space="preserve">systematic review </w:t>
      </w:r>
      <w:r w:rsidR="00272934">
        <w:t>also supported the superiority of the DASS depression scale, finding that it was the only DASS21 scale with</w:t>
      </w:r>
      <w:r w:rsidR="00F35DF4" w:rsidRPr="00B369FF">
        <w:t xml:space="preserve"> high-quality evidence of criterion validity (Lee et al., 2019). </w:t>
      </w:r>
      <w:r w:rsidR="00A47C58">
        <w:t>Moreover</w:t>
      </w:r>
      <w:r w:rsidR="00F35DF4" w:rsidRPr="00B369FF">
        <w:t xml:space="preserve">, </w:t>
      </w:r>
      <w:r>
        <w:t xml:space="preserve">an earlier study using an overlapping TBI sample to </w:t>
      </w:r>
      <w:r w:rsidR="00272934">
        <w:t>our</w:t>
      </w:r>
      <w:r>
        <w:t xml:space="preserve"> current study found that the DASS depression scale was significantly more sensitive at detecting SCID-diagnosed mood disorders than the depression subscale of the Hospital Anxiety and Depression Scale </w:t>
      </w:r>
      <w:r w:rsidR="006C20A2">
        <w:t xml:space="preserve"> (</w:t>
      </w:r>
      <w:r>
        <w:t>HADS</w:t>
      </w:r>
      <w:r w:rsidR="006C20A2">
        <w:t>;</w:t>
      </w:r>
      <w:r w:rsidR="00F20EE2">
        <w:t xml:space="preserve"> Dahm et al., 2013).</w:t>
      </w:r>
      <w:r w:rsidR="00272934">
        <w:t xml:space="preserve"> The authors attributed this increased sensitivity to the </w:t>
      </w:r>
      <w:r>
        <w:t xml:space="preserve">inclusion of items </w:t>
      </w:r>
      <w:r w:rsidR="006C20A2">
        <w:t xml:space="preserve">in the DASS </w:t>
      </w:r>
      <w:r>
        <w:t>relating to devaluation of life, self-deprecation, and hopelessness</w:t>
      </w:r>
      <w:r w:rsidR="006C20A2">
        <w:t>, which</w:t>
      </w:r>
      <w:r>
        <w:t xml:space="preserve"> </w:t>
      </w:r>
      <w:r w:rsidR="00272934">
        <w:t>are absent from the</w:t>
      </w:r>
      <w:r>
        <w:t xml:space="preserve"> HADS. </w:t>
      </w:r>
    </w:p>
    <w:p w14:paraId="655B8064" w14:textId="224DAC63" w:rsidR="00195A67" w:rsidRPr="006C20A2" w:rsidRDefault="00272934" w:rsidP="006C20A2">
      <w:pPr>
        <w:rPr>
          <w:lang w:val="en-AU"/>
        </w:rPr>
      </w:pPr>
      <w:r>
        <w:t xml:space="preserve">Despite </w:t>
      </w:r>
      <w:r w:rsidR="006C20A2">
        <w:t>our</w:t>
      </w:r>
      <w:r>
        <w:t xml:space="preserve"> </w:t>
      </w:r>
      <w:r w:rsidR="006C20A2">
        <w:t>bifactor analysis results</w:t>
      </w:r>
      <w:r>
        <w:t xml:space="preserve">, </w:t>
      </w:r>
      <w:r w:rsidRPr="00996F86">
        <w:t>it should be acknowledged that the fit of the unidimensional DASS models was poor</w:t>
      </w:r>
      <w:r w:rsidR="006C20A2">
        <w:t xml:space="preserve"> according to traditional model fit indices</w:t>
      </w:r>
      <w:r w:rsidRPr="00996F86">
        <w:t>.</w:t>
      </w:r>
      <w:r w:rsidR="006C20A2">
        <w:t xml:space="preserve"> </w:t>
      </w:r>
      <w:r w:rsidRPr="00996F86">
        <w:t xml:space="preserve">Although our findings suggest it is more justifiable to use the DASS total score over the </w:t>
      </w:r>
      <w:r w:rsidRPr="00B424A1">
        <w:t>conventional three-factor scoring</w:t>
      </w:r>
      <w:r w:rsidRPr="00996F86">
        <w:t xml:space="preserve">, it may also still be possible </w:t>
      </w:r>
      <w:r w:rsidR="00CA1E7A">
        <w:t xml:space="preserve">in the future </w:t>
      </w:r>
      <w:r w:rsidRPr="00996F86">
        <w:t>to identify a factor pattern of the DASS with improved specific factors</w:t>
      </w:r>
      <w:r w:rsidR="006C20A2">
        <w:t xml:space="preserve">—in </w:t>
      </w:r>
      <w:r w:rsidRPr="00996F86">
        <w:t xml:space="preserve">particular a </w:t>
      </w:r>
      <w:r w:rsidR="006C20A2">
        <w:t xml:space="preserve">specific </w:t>
      </w:r>
      <w:r w:rsidRPr="00996F86">
        <w:t>depression facto</w:t>
      </w:r>
      <w:r w:rsidR="006C20A2">
        <w:t>r</w:t>
      </w:r>
      <w:r w:rsidRPr="00B424A1">
        <w:t xml:space="preserve">. </w:t>
      </w:r>
      <w:r w:rsidRPr="00996F86">
        <w:t xml:space="preserve">This is likely not a straightforward task, potentially requiring the addition, removal, or customization of items and exploration of </w:t>
      </w:r>
      <w:r w:rsidR="006C20A2">
        <w:t>further</w:t>
      </w:r>
      <w:r w:rsidRPr="00996F86">
        <w:t xml:space="preserve"> factor analytic techniques (e.g., exploratory structural equation modeling, bifactor (</w:t>
      </w:r>
      <w:r w:rsidRPr="00996F86">
        <w:rPr>
          <w:i/>
        </w:rPr>
        <w:t>S</w:t>
      </w:r>
      <w:r w:rsidRPr="00996F86">
        <w:t xml:space="preserve"> </w:t>
      </w:r>
      <w:r w:rsidRPr="00B424A1">
        <w:rPr>
          <w:rFonts w:ascii="Times New Roman" w:hAnsi="Times New Roman" w:cs="Times New Roman"/>
        </w:rPr>
        <w:t>–</w:t>
      </w:r>
      <w:r w:rsidRPr="00996F86">
        <w:t xml:space="preserve"> 1) modeling), which was outside the scope of the current </w:t>
      </w:r>
      <w:r w:rsidRPr="00996F86">
        <w:lastRenderedPageBreak/>
        <w:t xml:space="preserve">study. </w:t>
      </w:r>
      <w:r w:rsidR="006C20A2">
        <w:t xml:space="preserve">The </w:t>
      </w:r>
      <w:r w:rsidR="00CA1E7A">
        <w:t>item-level results</w:t>
      </w:r>
      <w:r w:rsidR="006C20A2">
        <w:t xml:space="preserve"> from our study could guide the development of an enhanced depression scale in TBI by selecting those items that were meaningfully associated with the specific depression factor beyond general distress. </w:t>
      </w:r>
      <w:r w:rsidRPr="00996F86">
        <w:t xml:space="preserve">In lieu of </w:t>
      </w:r>
      <w:r w:rsidR="00CA1E7A">
        <w:t xml:space="preserve">such </w:t>
      </w:r>
      <w:r w:rsidR="003E77A9">
        <w:t>revisions to the DASS</w:t>
      </w:r>
      <w:r w:rsidRPr="00996F86">
        <w:t>, clinicians may also consider the individual items which are</w:t>
      </w:r>
      <w:r w:rsidR="003E77A9">
        <w:t xml:space="preserve"> most strongly</w:t>
      </w:r>
      <w:r w:rsidRPr="00996F86">
        <w:t xml:space="preserve"> endorsed by their clients with TBI</w:t>
      </w:r>
      <w:r w:rsidRPr="00B424A1">
        <w:t xml:space="preserve">, as well as the </w:t>
      </w:r>
      <w:r>
        <w:t xml:space="preserve">potential </w:t>
      </w:r>
      <w:r w:rsidRPr="00B424A1">
        <w:t xml:space="preserve">value of </w:t>
      </w:r>
      <w:r>
        <w:t xml:space="preserve">some </w:t>
      </w:r>
      <w:r w:rsidRPr="00B424A1">
        <w:t>depression scale</w:t>
      </w:r>
      <w:r>
        <w:t xml:space="preserve"> items</w:t>
      </w:r>
      <w:r w:rsidRPr="00B424A1">
        <w:t xml:space="preserve"> to add </w:t>
      </w:r>
      <w:r>
        <w:t xml:space="preserve">meaningful </w:t>
      </w:r>
      <w:r w:rsidRPr="00B424A1">
        <w:t xml:space="preserve">information beyond the </w:t>
      </w:r>
      <w:r>
        <w:t>total score.</w:t>
      </w:r>
    </w:p>
    <w:p w14:paraId="59BDB4FF" w14:textId="707DF60A" w:rsidR="00962C4C" w:rsidRPr="00B424A1" w:rsidRDefault="009A1879" w:rsidP="00962C4C">
      <w:pPr>
        <w:ind w:firstLine="0"/>
        <w:rPr>
          <w:b/>
          <w:bCs/>
        </w:rPr>
      </w:pPr>
      <w:r w:rsidRPr="00B424A1">
        <w:rPr>
          <w:b/>
          <w:bCs/>
        </w:rPr>
        <w:t>A T</w:t>
      </w:r>
      <w:r w:rsidR="00962C4C" w:rsidRPr="00B424A1">
        <w:rPr>
          <w:b/>
          <w:bCs/>
        </w:rPr>
        <w:t xml:space="preserve">ransdiagnostic </w:t>
      </w:r>
      <w:r w:rsidR="00440AB0" w:rsidRPr="00B424A1">
        <w:rPr>
          <w:b/>
          <w:bCs/>
        </w:rPr>
        <w:t>Re</w:t>
      </w:r>
      <w:r w:rsidR="000B1910" w:rsidRPr="00B424A1">
        <w:rPr>
          <w:b/>
          <w:bCs/>
        </w:rPr>
        <w:t>c</w:t>
      </w:r>
      <w:r w:rsidR="00143B1C" w:rsidRPr="00B424A1">
        <w:rPr>
          <w:b/>
          <w:bCs/>
        </w:rPr>
        <w:t>onceptualization</w:t>
      </w:r>
      <w:r w:rsidR="00962C4C" w:rsidRPr="00B424A1">
        <w:rPr>
          <w:b/>
          <w:bCs/>
        </w:rPr>
        <w:t xml:space="preserve"> of </w:t>
      </w:r>
      <w:r w:rsidR="00E62A8E" w:rsidRPr="00B424A1">
        <w:rPr>
          <w:b/>
          <w:bCs/>
        </w:rPr>
        <w:t>the DASS</w:t>
      </w:r>
    </w:p>
    <w:p w14:paraId="61BF9408" w14:textId="28537081" w:rsidR="00962C4C" w:rsidRPr="00B424A1" w:rsidRDefault="00AE697A" w:rsidP="00197789">
      <w:pPr>
        <w:rPr>
          <w:rFonts w:eastAsia="Times New Roman" w:cstheme="minorHAnsi"/>
          <w:lang w:eastAsia="en-GB"/>
        </w:rPr>
      </w:pPr>
      <w:r w:rsidRPr="00B424A1">
        <w:t>O</w:t>
      </w:r>
      <w:r w:rsidR="00182F6D" w:rsidRPr="00B424A1">
        <w:t>ur findings can be interpr</w:t>
      </w:r>
      <w:r w:rsidR="00A076DB" w:rsidRPr="00B424A1">
        <w:t>e</w:t>
      </w:r>
      <w:r w:rsidR="00182F6D" w:rsidRPr="00B424A1">
        <w:t>ted</w:t>
      </w:r>
      <w:r w:rsidR="00962C4C" w:rsidRPr="00B424A1">
        <w:t xml:space="preserve"> in</w:t>
      </w:r>
      <w:r w:rsidR="00962C4C" w:rsidRPr="00B424A1">
        <w:rPr>
          <w:rFonts w:cstheme="minorHAnsi"/>
        </w:rPr>
        <w:t xml:space="preserve"> </w:t>
      </w:r>
      <w:r w:rsidR="007B3498" w:rsidRPr="00B424A1">
        <w:rPr>
          <w:rFonts w:cstheme="minorHAnsi"/>
        </w:rPr>
        <w:t xml:space="preserve">relation to </w:t>
      </w:r>
      <w:r w:rsidR="00182F6D" w:rsidRPr="00B424A1">
        <w:rPr>
          <w:rFonts w:cstheme="minorHAnsi"/>
        </w:rPr>
        <w:t xml:space="preserve">transdiagnostic </w:t>
      </w:r>
      <w:r w:rsidR="00143B1C" w:rsidRPr="00B424A1">
        <w:rPr>
          <w:rFonts w:cstheme="minorHAnsi"/>
        </w:rPr>
        <w:t>conceptualizations</w:t>
      </w:r>
      <w:r w:rsidR="00820992" w:rsidRPr="00B424A1">
        <w:rPr>
          <w:rFonts w:cstheme="minorHAnsi"/>
        </w:rPr>
        <w:t xml:space="preserve"> of depression and anxiety</w:t>
      </w:r>
      <w:r w:rsidR="00182F6D" w:rsidRPr="00B424A1">
        <w:rPr>
          <w:rFonts w:cstheme="minorHAnsi"/>
        </w:rPr>
        <w:t xml:space="preserve"> </w:t>
      </w:r>
      <w:r w:rsidR="00962C4C" w:rsidRPr="00B424A1">
        <w:rPr>
          <w:rFonts w:eastAsia="Times New Roman" w:cstheme="minorHAnsi"/>
          <w:lang w:eastAsia="en-GB"/>
        </w:rPr>
        <w:t>(Clark &amp; Watson, 1991; Kotov et al., 2017</w:t>
      </w:r>
      <w:r w:rsidR="004726AA" w:rsidRPr="00B424A1">
        <w:rPr>
          <w:rFonts w:eastAsia="Times New Roman" w:cstheme="minorHAnsi"/>
          <w:lang w:eastAsia="en-GB"/>
        </w:rPr>
        <w:t>, 2021</w:t>
      </w:r>
      <w:r w:rsidR="004750BE" w:rsidRPr="00B424A1">
        <w:rPr>
          <w:rFonts w:eastAsia="Times New Roman" w:cstheme="minorHAnsi"/>
          <w:lang w:eastAsia="en-GB"/>
        </w:rPr>
        <w:t xml:space="preserve">; </w:t>
      </w:r>
      <w:r w:rsidR="001A51B7" w:rsidRPr="00B424A1">
        <w:rPr>
          <w:rFonts w:eastAsia="Times New Roman" w:cstheme="minorHAnsi"/>
          <w:lang w:eastAsia="en-GB"/>
        </w:rPr>
        <w:fldChar w:fldCharType="begin" w:fldLock="1"/>
      </w:r>
      <w:r w:rsidR="004750BE" w:rsidRPr="00B424A1">
        <w:rPr>
          <w:rFonts w:eastAsia="Times New Roman" w:cstheme="minorHAnsi"/>
          <w:lang w:eastAsia="en-GB"/>
        </w:rPr>
        <w:instrText>ADDIN paperpile_citation &lt;clusterId&gt;W649K799G189M134&lt;/clusterId&gt;&lt;metadata&gt;&lt;citation&gt;&lt;id&gt;3f103791-0cb3-44cf-b48a-f3f8f35ea2d1&lt;/id&gt;&lt;/citation&gt;&lt;/metadata&gt;&lt;data&gt;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&lt;/data&gt; \* MERGEFORMAT</w:instrText>
      </w:r>
      <w:r w:rsidR="001A51B7" w:rsidRPr="00B424A1">
        <w:rPr>
          <w:rFonts w:eastAsia="Times New Roman" w:cstheme="minorHAnsi"/>
          <w:lang w:eastAsia="en-GB"/>
        </w:rPr>
        <w:fldChar w:fldCharType="separate"/>
      </w:r>
      <w:r w:rsidR="004750BE" w:rsidRPr="00B424A1">
        <w:rPr>
          <w:rFonts w:eastAsia="Times New Roman" w:cstheme="minorHAnsi"/>
          <w:noProof/>
          <w:lang w:eastAsia="en-GB"/>
        </w:rPr>
        <w:t>Shields et al., 2016)</w:t>
      </w:r>
      <w:r w:rsidR="001A51B7" w:rsidRPr="00B424A1">
        <w:rPr>
          <w:rFonts w:eastAsia="Times New Roman" w:cstheme="minorHAnsi"/>
          <w:lang w:eastAsia="en-GB"/>
        </w:rPr>
        <w:fldChar w:fldCharType="end"/>
      </w:r>
      <w:r w:rsidR="00962C4C" w:rsidRPr="00B424A1">
        <w:rPr>
          <w:rFonts w:eastAsia="Times New Roman" w:cstheme="minorHAnsi"/>
          <w:lang w:eastAsia="en-GB"/>
        </w:rPr>
        <w:t xml:space="preserve">. </w:t>
      </w:r>
      <w:r w:rsidR="00182F6D" w:rsidRPr="00B424A1">
        <w:rPr>
          <w:rFonts w:ascii="Times New Roman" w:hAnsi="Times New Roman" w:cs="Times New Roman"/>
        </w:rPr>
        <w:t>According to the</w:t>
      </w:r>
      <w:r w:rsidR="00883F0F" w:rsidRPr="00B424A1">
        <w:rPr>
          <w:rFonts w:ascii="Times New Roman" w:hAnsi="Times New Roman" w:cs="Times New Roman"/>
        </w:rPr>
        <w:t xml:space="preserve"> </w:t>
      </w:r>
      <w:r w:rsidR="00182F6D" w:rsidRPr="00B424A1">
        <w:rPr>
          <w:rFonts w:ascii="Times New Roman" w:hAnsi="Times New Roman" w:cs="Times New Roman"/>
        </w:rPr>
        <w:t>T</w:t>
      </w:r>
      <w:r w:rsidR="00883F0F" w:rsidRPr="00B424A1">
        <w:rPr>
          <w:rFonts w:ascii="Times New Roman" w:hAnsi="Times New Roman" w:cs="Times New Roman"/>
        </w:rPr>
        <w:t xml:space="preserve">ripartite </w:t>
      </w:r>
      <w:r w:rsidR="00182F6D" w:rsidRPr="00B424A1">
        <w:rPr>
          <w:rFonts w:ascii="Times New Roman" w:hAnsi="Times New Roman" w:cs="Times New Roman"/>
        </w:rPr>
        <w:t>M</w:t>
      </w:r>
      <w:r w:rsidR="00883F0F" w:rsidRPr="00B424A1">
        <w:rPr>
          <w:rFonts w:ascii="Times New Roman" w:hAnsi="Times New Roman" w:cs="Times New Roman"/>
        </w:rPr>
        <w:t>odel</w:t>
      </w:r>
      <w:r w:rsidR="00FC3620" w:rsidRPr="00B424A1">
        <w:rPr>
          <w:rFonts w:ascii="Times New Roman" w:hAnsi="Times New Roman" w:cs="Times New Roman"/>
        </w:rPr>
        <w:t xml:space="preserve"> (Clark &amp; Watson, 1991)</w:t>
      </w:r>
      <w:r w:rsidR="00883F0F" w:rsidRPr="00B424A1">
        <w:rPr>
          <w:rFonts w:ascii="Times New Roman" w:hAnsi="Times New Roman" w:cs="Times New Roman"/>
        </w:rPr>
        <w:t>, depression</w:t>
      </w:r>
      <w:r w:rsidRPr="00B424A1">
        <w:rPr>
          <w:rFonts w:ascii="Times New Roman" w:hAnsi="Times New Roman" w:cs="Times New Roman"/>
        </w:rPr>
        <w:t xml:space="preserve"> and anxiety</w:t>
      </w:r>
      <w:r w:rsidR="00883F0F" w:rsidRPr="00B424A1">
        <w:rPr>
          <w:rFonts w:ascii="Times New Roman" w:hAnsi="Times New Roman" w:cs="Times New Roman"/>
        </w:rPr>
        <w:t xml:space="preserve"> are </w:t>
      </w:r>
      <w:r w:rsidR="00537F23" w:rsidRPr="00B424A1">
        <w:rPr>
          <w:rFonts w:ascii="Times New Roman" w:hAnsi="Times New Roman" w:cs="Times New Roman"/>
        </w:rPr>
        <w:t>thought</w:t>
      </w:r>
      <w:r w:rsidR="00883F0F" w:rsidRPr="00B424A1">
        <w:rPr>
          <w:rFonts w:ascii="Times New Roman" w:hAnsi="Times New Roman" w:cs="Times New Roman"/>
        </w:rPr>
        <w:t xml:space="preserve"> to share a higher</w:t>
      </w:r>
      <w:r w:rsidR="00125ACD" w:rsidRPr="00B424A1">
        <w:rPr>
          <w:rFonts w:ascii="Times New Roman" w:hAnsi="Times New Roman" w:cs="Times New Roman"/>
        </w:rPr>
        <w:t>-</w:t>
      </w:r>
      <w:r w:rsidR="00883F0F" w:rsidRPr="00B424A1">
        <w:rPr>
          <w:rFonts w:ascii="Times New Roman" w:hAnsi="Times New Roman" w:cs="Times New Roman"/>
        </w:rPr>
        <w:t>order factor</w:t>
      </w:r>
      <w:r w:rsidR="004774CD">
        <w:rPr>
          <w:rFonts w:ascii="Times New Roman" w:hAnsi="Times New Roman" w:cs="Times New Roman"/>
        </w:rPr>
        <w:t xml:space="preserve"> of negative affectivity (other times referred to as general distress, internalizing psychopathology, or negative emotional symptoms)</w:t>
      </w:r>
      <w:r w:rsidRPr="00B424A1">
        <w:rPr>
          <w:rFonts w:ascii="Times New Roman" w:hAnsi="Times New Roman" w:cs="Times New Roman"/>
        </w:rPr>
        <w:t>, helping to explain the high comorbidity</w:t>
      </w:r>
      <w:r w:rsidR="00DC14E8">
        <w:rPr>
          <w:rFonts w:ascii="Times New Roman" w:hAnsi="Times New Roman" w:cs="Times New Roman"/>
        </w:rPr>
        <w:t xml:space="preserve"> between these syndromes</w:t>
      </w:r>
      <w:r w:rsidR="00FC3620" w:rsidRPr="00B424A1">
        <w:rPr>
          <w:rFonts w:ascii="Times New Roman" w:hAnsi="Times New Roman" w:cs="Times New Roman"/>
        </w:rPr>
        <w:t xml:space="preserve">. </w:t>
      </w:r>
      <w:r w:rsidRPr="00B424A1">
        <w:t>T</w:t>
      </w:r>
      <w:r w:rsidR="00DE7D52" w:rsidRPr="00B424A1">
        <w:t xml:space="preserve">he </w:t>
      </w:r>
      <w:r w:rsidR="00CB1DB9" w:rsidRPr="00B424A1">
        <w:t xml:space="preserve">DASS </w:t>
      </w:r>
      <w:r w:rsidR="00DE7D52" w:rsidRPr="00B424A1">
        <w:t xml:space="preserve">total score </w:t>
      </w:r>
      <w:r w:rsidR="00E3706B" w:rsidRPr="00B424A1">
        <w:t xml:space="preserve">after TBI </w:t>
      </w:r>
      <w:r w:rsidR="00DE7D52" w:rsidRPr="00B424A1">
        <w:t xml:space="preserve">could </w:t>
      </w:r>
      <w:r w:rsidRPr="00B424A1">
        <w:t xml:space="preserve">therefore </w:t>
      </w:r>
      <w:r w:rsidR="00DE7D52" w:rsidRPr="00B424A1">
        <w:t xml:space="preserve">be </w:t>
      </w:r>
      <w:r w:rsidR="00143B1C" w:rsidRPr="00B424A1">
        <w:t>conceptualized</w:t>
      </w:r>
      <w:r w:rsidR="00DE7D52" w:rsidRPr="00B424A1">
        <w:t xml:space="preserve"> as </w:t>
      </w:r>
      <w:r w:rsidR="00CB1DB9" w:rsidRPr="00B424A1">
        <w:t>a transdiagnostic measure of</w:t>
      </w:r>
      <w:r w:rsidRPr="00B424A1">
        <w:t xml:space="preserve"> </w:t>
      </w:r>
      <w:r w:rsidR="00537F23" w:rsidRPr="00B424A1">
        <w:t xml:space="preserve">negative affectivity </w:t>
      </w:r>
      <w:r w:rsidRPr="00B424A1">
        <w:t>common to depression</w:t>
      </w:r>
      <w:r w:rsidR="00882D14" w:rsidRPr="00B424A1">
        <w:t xml:space="preserve">, </w:t>
      </w:r>
      <w:r w:rsidRPr="00B424A1">
        <w:t>anxiety</w:t>
      </w:r>
      <w:r w:rsidR="00882D14" w:rsidRPr="00B424A1">
        <w:t>, and other emotional disorders characterized by pervasive negative</w:t>
      </w:r>
      <w:r w:rsidR="00DF2752" w:rsidRPr="00B424A1">
        <w:t xml:space="preserve"> emotionality</w:t>
      </w:r>
      <w:r w:rsidR="00831378" w:rsidRPr="00B424A1">
        <w:t>.</w:t>
      </w:r>
      <w:r w:rsidR="00182F6D" w:rsidRPr="00B424A1">
        <w:t xml:space="preserve"> In addition, t</w:t>
      </w:r>
      <w:r w:rsidR="00962C4C" w:rsidRPr="00B424A1">
        <w:t xml:space="preserve">he </w:t>
      </w:r>
      <w:r w:rsidR="00182F6D" w:rsidRPr="00B424A1">
        <w:t>T</w:t>
      </w:r>
      <w:r w:rsidR="00962C4C" w:rsidRPr="00B424A1">
        <w:t xml:space="preserve">ripartite </w:t>
      </w:r>
      <w:r w:rsidR="00182F6D" w:rsidRPr="00B424A1">
        <w:t>M</w:t>
      </w:r>
      <w:r w:rsidR="00962C4C" w:rsidRPr="00B424A1">
        <w:t>odel propose</w:t>
      </w:r>
      <w:r w:rsidR="00182F6D" w:rsidRPr="00B424A1">
        <w:t>s</w:t>
      </w:r>
      <w:r w:rsidR="00962C4C" w:rsidRPr="00B424A1">
        <w:t xml:space="preserve"> </w:t>
      </w:r>
      <w:r w:rsidR="00182F6D" w:rsidRPr="00B424A1">
        <w:t>the existence of symptom components</w:t>
      </w:r>
      <w:r w:rsidR="00962C4C" w:rsidRPr="00B424A1">
        <w:t xml:space="preserve"> </w:t>
      </w:r>
      <w:r w:rsidR="00962C4C" w:rsidRPr="00B424A1">
        <w:rPr>
          <w:i/>
          <w:iCs/>
        </w:rPr>
        <w:t>unique</w:t>
      </w:r>
      <w:r w:rsidR="00182F6D" w:rsidRPr="00B424A1">
        <w:t xml:space="preserve"> only </w:t>
      </w:r>
      <w:r w:rsidR="00882D14" w:rsidRPr="00B424A1">
        <w:t xml:space="preserve">to </w:t>
      </w:r>
      <w:r w:rsidR="00182F6D" w:rsidRPr="00B424A1">
        <w:t>anxiety or depression,</w:t>
      </w:r>
      <w:r w:rsidR="00962C4C" w:rsidRPr="00B424A1">
        <w:t xml:space="preserve"> which allow the</w:t>
      </w:r>
      <w:r w:rsidR="00182F6D" w:rsidRPr="00B424A1">
        <w:t xml:space="preserve">se </w:t>
      </w:r>
      <w:r w:rsidR="00DC14E8">
        <w:t>syndromes</w:t>
      </w:r>
      <w:r w:rsidR="00962C4C" w:rsidRPr="00B424A1">
        <w:t xml:space="preserve"> to be distinguished </w:t>
      </w:r>
      <w:r w:rsidR="00962C4C" w:rsidRPr="00B424A1">
        <w:rPr>
          <w:rFonts w:ascii="Times New Roman" w:cs="Times New Roman"/>
          <w:lang w:val="en-GB"/>
        </w:rPr>
        <w:t>(Watson et al., 1988)</w:t>
      </w:r>
      <w:r w:rsidR="00962C4C" w:rsidRPr="00B424A1">
        <w:t xml:space="preserve">. </w:t>
      </w:r>
      <w:r w:rsidR="007A4CEE">
        <w:t>U</w:t>
      </w:r>
      <w:r w:rsidR="00DC4668" w:rsidRPr="00B424A1">
        <w:t>nidimensional model fit and</w:t>
      </w:r>
      <w:r w:rsidR="00182F6D" w:rsidRPr="00B424A1">
        <w:t xml:space="preserve"> analysis of individual items within the </w:t>
      </w:r>
      <w:r w:rsidR="00882D14" w:rsidRPr="00B424A1">
        <w:t xml:space="preserve">DASS </w:t>
      </w:r>
      <w:r w:rsidR="00182F6D" w:rsidRPr="00B424A1">
        <w:t>bifactor model</w:t>
      </w:r>
      <w:r w:rsidR="00CB1DB9" w:rsidRPr="00B424A1">
        <w:t>s</w:t>
      </w:r>
      <w:r w:rsidR="00962C4C" w:rsidRPr="00B424A1">
        <w:t xml:space="preserve"> </w:t>
      </w:r>
      <w:r w:rsidR="001B0B4E" w:rsidRPr="00B424A1">
        <w:t xml:space="preserve">suggested </w:t>
      </w:r>
      <w:r w:rsidR="00962C4C" w:rsidRPr="00B424A1">
        <w:rPr>
          <w:rFonts w:cstheme="minorHAnsi"/>
        </w:rPr>
        <w:t>some items were less tied up in general distress than others</w:t>
      </w:r>
      <w:r w:rsidR="00962C4C" w:rsidRPr="00B424A1">
        <w:t>.</w:t>
      </w:r>
      <w:r w:rsidR="00962C4C" w:rsidRPr="00B424A1">
        <w:rPr>
          <w:rFonts w:eastAsia="Times New Roman" w:cstheme="minorHAnsi"/>
          <w:lang w:eastAsia="en-GB"/>
        </w:rPr>
        <w:t xml:space="preserve"> </w:t>
      </w:r>
      <w:r w:rsidR="00197789" w:rsidRPr="00B424A1">
        <w:rPr>
          <w:rFonts w:eastAsia="Times New Roman" w:cstheme="minorHAnsi"/>
          <w:lang w:eastAsia="en-GB"/>
        </w:rPr>
        <w:t xml:space="preserve">Consistent with other studies (Mihic et al., 2021; </w:t>
      </w:r>
      <w:r w:rsidR="004774CD">
        <w:rPr>
          <w:rFonts w:eastAsia="Times New Roman" w:cstheme="minorHAnsi"/>
          <w:lang w:eastAsia="en-GB"/>
        </w:rPr>
        <w:t xml:space="preserve">Moore et al., 2017; </w:t>
      </w:r>
      <w:r w:rsidR="00197789" w:rsidRPr="00B424A1">
        <w:rPr>
          <w:rFonts w:eastAsia="Times New Roman" w:cstheme="minorHAnsi"/>
          <w:lang w:eastAsia="en-GB"/>
        </w:rPr>
        <w:t>Naumova, 2022), t</w:t>
      </w:r>
      <w:r w:rsidR="000B1910" w:rsidRPr="00B424A1">
        <w:rPr>
          <w:rFonts w:eastAsia="Times New Roman" w:cstheme="minorHAnsi"/>
          <w:lang w:eastAsia="en-GB"/>
        </w:rPr>
        <w:t xml:space="preserve">his was </w:t>
      </w:r>
      <w:r w:rsidR="00197789" w:rsidRPr="00B424A1">
        <w:rPr>
          <w:rFonts w:eastAsia="Times New Roman" w:cstheme="minorHAnsi"/>
          <w:lang w:eastAsia="en-GB"/>
        </w:rPr>
        <w:t>mostly</w:t>
      </w:r>
      <w:r w:rsidR="000B1910" w:rsidRPr="00B424A1">
        <w:rPr>
          <w:rFonts w:eastAsia="Times New Roman" w:cstheme="minorHAnsi"/>
          <w:lang w:eastAsia="en-GB"/>
        </w:rPr>
        <w:t xml:space="preserve"> confined to items of the depression scale</w:t>
      </w:r>
      <w:r w:rsidR="00197789" w:rsidRPr="00B424A1">
        <w:rPr>
          <w:rFonts w:eastAsia="Times New Roman" w:cstheme="minorHAnsi"/>
          <w:lang w:eastAsia="en-GB"/>
        </w:rPr>
        <w:t>s (e.g., hopelessness, lack of interest)</w:t>
      </w:r>
      <w:r w:rsidR="000B1910" w:rsidRPr="00B424A1">
        <w:rPr>
          <w:rFonts w:eastAsia="Times New Roman" w:cstheme="minorHAnsi"/>
          <w:lang w:eastAsia="en-GB"/>
        </w:rPr>
        <w:t xml:space="preserve"> </w:t>
      </w:r>
      <w:r w:rsidR="00E3706B" w:rsidRPr="00B424A1">
        <w:rPr>
          <w:rFonts w:eastAsia="Times New Roman" w:cstheme="minorHAnsi"/>
          <w:lang w:eastAsia="en-GB"/>
        </w:rPr>
        <w:t>addressing symptoms which</w:t>
      </w:r>
      <w:r w:rsidR="00197789" w:rsidRPr="00B424A1">
        <w:rPr>
          <w:rFonts w:eastAsia="Times New Roman" w:cstheme="minorHAnsi"/>
          <w:lang w:eastAsia="en-GB"/>
        </w:rPr>
        <w:t xml:space="preserve"> align </w:t>
      </w:r>
      <w:r w:rsidRPr="00B424A1">
        <w:t>with the</w:t>
      </w:r>
      <w:r w:rsidR="00992A34" w:rsidRPr="00B424A1">
        <w:t xml:space="preserve"> unique compo</w:t>
      </w:r>
      <w:r w:rsidR="00A9015D" w:rsidRPr="00B424A1">
        <w:t>n</w:t>
      </w:r>
      <w:r w:rsidR="00992A34" w:rsidRPr="00B424A1">
        <w:t>ent</w:t>
      </w:r>
      <w:r w:rsidR="00962C4C" w:rsidRPr="00B424A1">
        <w:rPr>
          <w:rFonts w:eastAsia="Times New Roman" w:cstheme="minorHAnsi"/>
          <w:lang w:eastAsia="en-GB"/>
        </w:rPr>
        <w:t xml:space="preserve"> of depression </w:t>
      </w:r>
      <w:r w:rsidR="00182F6D" w:rsidRPr="00B424A1">
        <w:rPr>
          <w:rFonts w:eastAsia="Times New Roman" w:cstheme="minorHAnsi"/>
          <w:lang w:eastAsia="en-GB"/>
        </w:rPr>
        <w:t xml:space="preserve">articulated </w:t>
      </w:r>
      <w:r w:rsidR="006A6EDD" w:rsidRPr="00B424A1">
        <w:rPr>
          <w:rFonts w:eastAsia="Times New Roman" w:cstheme="minorHAnsi"/>
          <w:lang w:eastAsia="en-GB"/>
        </w:rPr>
        <w:t xml:space="preserve">within the </w:t>
      </w:r>
      <w:r w:rsidR="00F240E8" w:rsidRPr="00B424A1">
        <w:rPr>
          <w:rFonts w:eastAsia="Times New Roman" w:cstheme="minorHAnsi"/>
          <w:lang w:eastAsia="en-GB"/>
        </w:rPr>
        <w:t>Tripartite</w:t>
      </w:r>
      <w:r w:rsidR="006A6EDD" w:rsidRPr="00B424A1">
        <w:rPr>
          <w:rFonts w:eastAsia="Times New Roman" w:cstheme="minorHAnsi"/>
          <w:lang w:eastAsia="en-GB"/>
        </w:rPr>
        <w:t xml:space="preserve"> </w:t>
      </w:r>
      <w:r w:rsidR="00882D14" w:rsidRPr="00B424A1">
        <w:rPr>
          <w:rFonts w:eastAsia="Times New Roman" w:cstheme="minorHAnsi"/>
          <w:lang w:eastAsia="en-GB"/>
        </w:rPr>
        <w:t>M</w:t>
      </w:r>
      <w:r w:rsidR="006A6EDD" w:rsidRPr="00B424A1">
        <w:rPr>
          <w:rFonts w:eastAsia="Times New Roman" w:cstheme="minorHAnsi"/>
          <w:lang w:eastAsia="en-GB"/>
        </w:rPr>
        <w:t xml:space="preserve">odel </w:t>
      </w:r>
      <w:r w:rsidR="00992A34" w:rsidRPr="00B424A1">
        <w:rPr>
          <w:rFonts w:eastAsia="Times New Roman" w:cstheme="minorHAnsi"/>
          <w:lang w:eastAsia="en-GB"/>
        </w:rPr>
        <w:t xml:space="preserve">– </w:t>
      </w:r>
      <w:r w:rsidR="008678A7" w:rsidRPr="00B424A1">
        <w:rPr>
          <w:rFonts w:eastAsia="Times New Roman" w:cstheme="minorHAnsi"/>
          <w:lang w:eastAsia="en-GB"/>
        </w:rPr>
        <w:t>‘</w:t>
      </w:r>
      <w:r w:rsidR="00992A34" w:rsidRPr="00B424A1">
        <w:rPr>
          <w:rFonts w:eastAsia="Times New Roman" w:cstheme="minorHAnsi"/>
          <w:lang w:eastAsia="en-GB"/>
        </w:rPr>
        <w:t>low positive affect</w:t>
      </w:r>
      <w:r w:rsidR="007B3498" w:rsidRPr="00B424A1">
        <w:rPr>
          <w:rFonts w:eastAsia="Times New Roman" w:cstheme="minorHAnsi"/>
          <w:lang w:eastAsia="en-GB"/>
        </w:rPr>
        <w:t>ivity</w:t>
      </w:r>
      <w:r w:rsidR="008678A7" w:rsidRPr="00B424A1">
        <w:rPr>
          <w:rFonts w:eastAsia="Times New Roman" w:cstheme="minorHAnsi"/>
          <w:lang w:eastAsia="en-GB"/>
        </w:rPr>
        <w:t>’</w:t>
      </w:r>
      <w:r w:rsidR="00630D2C" w:rsidRPr="00B424A1">
        <w:rPr>
          <w:rFonts w:eastAsia="Times New Roman" w:cstheme="minorHAnsi"/>
          <w:lang w:eastAsia="en-GB"/>
        </w:rPr>
        <w:t xml:space="preserve"> </w:t>
      </w:r>
      <w:r w:rsidR="00DC4668" w:rsidRPr="00B424A1">
        <w:rPr>
          <w:rFonts w:eastAsia="Times New Roman" w:cstheme="minorHAnsi"/>
          <w:lang w:eastAsia="en-GB"/>
        </w:rPr>
        <w:t xml:space="preserve">or anhedonia </w:t>
      </w:r>
      <w:r w:rsidR="006A6EDD" w:rsidRPr="00B424A1">
        <w:rPr>
          <w:rFonts w:eastAsia="Times New Roman" w:cstheme="minorHAnsi"/>
          <w:lang w:eastAsia="en-GB"/>
        </w:rPr>
        <w:t>(Clark &amp; Watson, 1991</w:t>
      </w:r>
      <w:r w:rsidR="00630D2C" w:rsidRPr="00B424A1">
        <w:rPr>
          <w:rFonts w:eastAsia="Times New Roman" w:cstheme="minorHAnsi"/>
          <w:lang w:eastAsia="en-GB"/>
        </w:rPr>
        <w:t xml:space="preserve">). </w:t>
      </w:r>
    </w:p>
    <w:p w14:paraId="7210EF4A" w14:textId="19BAA595" w:rsidR="005A02ED" w:rsidRPr="00B424A1" w:rsidRDefault="005A02ED" w:rsidP="005A02ED">
      <w:pPr>
        <w:pStyle w:val="Heading2"/>
      </w:pPr>
      <w:bookmarkStart w:id="99" w:name="_Toc85182153"/>
      <w:bookmarkStart w:id="100" w:name="_Toc85399196"/>
      <w:bookmarkStart w:id="101" w:name="_Toc85455477"/>
      <w:bookmarkStart w:id="102" w:name="_Toc85455670"/>
      <w:bookmarkStart w:id="103" w:name="_Toc85456071"/>
      <w:bookmarkStart w:id="104" w:name="_Toc85456360"/>
      <w:bookmarkStart w:id="105" w:name="_Toc85456496"/>
      <w:bookmarkStart w:id="106" w:name="_Toc86046806"/>
      <w:bookmarkStart w:id="107" w:name="_Toc86047047"/>
      <w:bookmarkStart w:id="108" w:name="_Toc86047174"/>
      <w:bookmarkStart w:id="109" w:name="_Toc86047230"/>
      <w:r w:rsidRPr="00B424A1">
        <w:lastRenderedPageBreak/>
        <w:t>Implications</w:t>
      </w:r>
      <w:bookmarkEnd w:id="99"/>
      <w:bookmarkEnd w:id="100"/>
      <w:bookmarkEnd w:id="101"/>
      <w:bookmarkEnd w:id="102"/>
      <w:bookmarkEnd w:id="103"/>
      <w:bookmarkEnd w:id="104"/>
      <w:bookmarkEnd w:id="105"/>
      <w:bookmarkEnd w:id="106"/>
      <w:bookmarkEnd w:id="107"/>
      <w:bookmarkEnd w:id="108"/>
      <w:bookmarkEnd w:id="109"/>
    </w:p>
    <w:p w14:paraId="718EABDA" w14:textId="4BA57A46" w:rsidR="00CD65E6" w:rsidRDefault="00B956E8" w:rsidP="00CD65E6">
      <w:pPr>
        <w:rPr>
          <w:lang w:val="en-AU"/>
        </w:rPr>
      </w:pPr>
      <w:r w:rsidRPr="00B424A1">
        <w:rPr>
          <w:lang w:val="en-AU"/>
        </w:rPr>
        <w:t>O</w:t>
      </w:r>
      <w:r w:rsidR="00C05107" w:rsidRPr="00B424A1">
        <w:rPr>
          <w:lang w:val="en-AU"/>
        </w:rPr>
        <w:t xml:space="preserve">ur findings </w:t>
      </w:r>
      <w:r w:rsidR="002824C5">
        <w:rPr>
          <w:lang w:val="en-AU"/>
        </w:rPr>
        <w:t>provide new insights</w:t>
      </w:r>
      <w:r w:rsidR="004774CD">
        <w:rPr>
          <w:lang w:val="en-AU"/>
        </w:rPr>
        <w:t xml:space="preserve"> </w:t>
      </w:r>
      <w:r w:rsidR="002824C5">
        <w:rPr>
          <w:lang w:val="en-AU"/>
        </w:rPr>
        <w:t>into</w:t>
      </w:r>
      <w:r w:rsidR="004774CD">
        <w:rPr>
          <w:lang w:val="en-AU"/>
        </w:rPr>
        <w:t xml:space="preserve"> the</w:t>
      </w:r>
      <w:r w:rsidR="00C3304A" w:rsidRPr="00B424A1">
        <w:rPr>
          <w:lang w:val="en-AU"/>
        </w:rPr>
        <w:t xml:space="preserve"> appropriateness and clinical utility of the DASS </w:t>
      </w:r>
      <w:r w:rsidR="002824C5">
        <w:rPr>
          <w:lang w:val="en-AU"/>
        </w:rPr>
        <w:t>for individuals with</w:t>
      </w:r>
      <w:r w:rsidR="00C3304A" w:rsidRPr="00B424A1">
        <w:rPr>
          <w:lang w:val="en-AU"/>
        </w:rPr>
        <w:t xml:space="preserve"> TBI</w:t>
      </w:r>
      <w:r w:rsidR="00E71CE0">
        <w:rPr>
          <w:lang w:val="en-AU"/>
        </w:rPr>
        <w:t xml:space="preserve">, </w:t>
      </w:r>
      <w:r w:rsidR="002824C5">
        <w:rPr>
          <w:lang w:val="en-AU"/>
        </w:rPr>
        <w:t>offering</w:t>
      </w:r>
      <w:r w:rsidR="00E71CE0">
        <w:rPr>
          <w:lang w:val="en-AU"/>
        </w:rPr>
        <w:t xml:space="preserve"> practical implications</w:t>
      </w:r>
      <w:r w:rsidR="00F163A7" w:rsidRPr="00B424A1">
        <w:rPr>
          <w:lang w:val="en-AU"/>
        </w:rPr>
        <w:t xml:space="preserve">. </w:t>
      </w:r>
      <w:r w:rsidR="00E71CE0">
        <w:rPr>
          <w:lang w:val="en-AU"/>
        </w:rPr>
        <w:t>C</w:t>
      </w:r>
      <w:r w:rsidR="001C39C2">
        <w:rPr>
          <w:lang w:val="en-AU"/>
        </w:rPr>
        <w:t>onsistent with prior work (Wong et al., 2013), c</w:t>
      </w:r>
      <w:r w:rsidR="00E71CE0">
        <w:rPr>
          <w:lang w:val="en-AU"/>
        </w:rPr>
        <w:t>aution should be exercised</w:t>
      </w:r>
      <w:r w:rsidR="00C05107" w:rsidRPr="00B424A1">
        <w:rPr>
          <w:lang w:val="en-AU"/>
        </w:rPr>
        <w:t xml:space="preserve"> </w:t>
      </w:r>
      <w:r w:rsidRPr="00B424A1">
        <w:rPr>
          <w:lang w:val="en-AU"/>
        </w:rPr>
        <w:t xml:space="preserve">in </w:t>
      </w:r>
      <w:r w:rsidR="00AD2EDA" w:rsidRPr="00B424A1">
        <w:rPr>
          <w:lang w:val="en-AU"/>
        </w:rPr>
        <w:t>using the conventional three-factor scoring of the DASS</w:t>
      </w:r>
      <w:r w:rsidR="002824C5">
        <w:rPr>
          <w:lang w:val="en-AU"/>
        </w:rPr>
        <w:t>21 and DASS42</w:t>
      </w:r>
      <w:r w:rsidRPr="00B424A1">
        <w:rPr>
          <w:lang w:val="en-AU"/>
        </w:rPr>
        <w:t xml:space="preserve"> </w:t>
      </w:r>
      <w:r w:rsidR="00E71CE0">
        <w:rPr>
          <w:lang w:val="en-AU"/>
        </w:rPr>
        <w:t xml:space="preserve">when </w:t>
      </w:r>
      <w:r w:rsidRPr="00B424A1">
        <w:rPr>
          <w:lang w:val="en-AU"/>
        </w:rPr>
        <w:t>completed by individuals</w:t>
      </w:r>
      <w:r w:rsidR="00C05107" w:rsidRPr="00B424A1">
        <w:rPr>
          <w:lang w:val="en-AU"/>
        </w:rPr>
        <w:t xml:space="preserve"> </w:t>
      </w:r>
      <w:r w:rsidR="005A02ED" w:rsidRPr="00B424A1">
        <w:rPr>
          <w:lang w:val="en-AU"/>
        </w:rPr>
        <w:t>with TBI</w:t>
      </w:r>
      <w:r w:rsidR="00AE697A" w:rsidRPr="00B424A1">
        <w:rPr>
          <w:lang w:val="en-AU"/>
        </w:rPr>
        <w:t>. The specific factors</w:t>
      </w:r>
      <w:r w:rsidR="00FB2227">
        <w:rPr>
          <w:lang w:val="en-AU"/>
        </w:rPr>
        <w:t xml:space="preserve">, especially </w:t>
      </w:r>
      <w:r w:rsidR="00E71CE0">
        <w:rPr>
          <w:lang w:val="en-AU"/>
        </w:rPr>
        <w:t>anxiety and stress</w:t>
      </w:r>
      <w:r w:rsidR="00FB2227">
        <w:rPr>
          <w:lang w:val="en-AU"/>
        </w:rPr>
        <w:t xml:space="preserve">, </w:t>
      </w:r>
      <w:r w:rsidR="001C39C2">
        <w:rPr>
          <w:lang w:val="en-AU"/>
        </w:rPr>
        <w:t>had</w:t>
      </w:r>
      <w:r w:rsidR="00CD65E6">
        <w:rPr>
          <w:lang w:val="en-AU"/>
        </w:rPr>
        <w:t xml:space="preserve"> limited reliability</w:t>
      </w:r>
      <w:r w:rsidR="007A4CEE">
        <w:rPr>
          <w:lang w:val="en-AU"/>
        </w:rPr>
        <w:t xml:space="preserve">, </w:t>
      </w:r>
      <w:r w:rsidR="00CD65E6">
        <w:rPr>
          <w:lang w:val="en-AU"/>
        </w:rPr>
        <w:t>were conceptually ambiguous</w:t>
      </w:r>
      <w:r w:rsidR="007A4CEE">
        <w:rPr>
          <w:lang w:val="en-AU"/>
        </w:rPr>
        <w:t>, and added little meaningful information</w:t>
      </w:r>
      <w:r w:rsidR="00CD65E6">
        <w:rPr>
          <w:lang w:val="en-AU"/>
        </w:rPr>
        <w:t xml:space="preserve"> after accounting for the general factor</w:t>
      </w:r>
      <w:r w:rsidR="007A4CEE">
        <w:rPr>
          <w:lang w:val="en-AU"/>
        </w:rPr>
        <w:t xml:space="preserve">’s influence; the specific factors </w:t>
      </w:r>
      <w:r w:rsidR="00A36B4A">
        <w:rPr>
          <w:lang w:val="en-AU"/>
        </w:rPr>
        <w:t xml:space="preserve">were </w:t>
      </w:r>
      <w:r w:rsidR="007A4CEE">
        <w:rPr>
          <w:lang w:val="en-AU"/>
        </w:rPr>
        <w:t xml:space="preserve">also </w:t>
      </w:r>
      <w:r w:rsidR="00A36B4A">
        <w:rPr>
          <w:lang w:val="en-AU"/>
        </w:rPr>
        <w:t xml:space="preserve">poorly differentiated from one another and from the general factor. </w:t>
      </w:r>
      <w:r w:rsidR="002824C5">
        <w:rPr>
          <w:lang w:val="en-AU"/>
        </w:rPr>
        <w:t>Conversely</w:t>
      </w:r>
      <w:r w:rsidR="00AE697A" w:rsidRPr="00B424A1">
        <w:rPr>
          <w:lang w:val="en-AU"/>
        </w:rPr>
        <w:t xml:space="preserve">, </w:t>
      </w:r>
      <w:r w:rsidR="00FB2227">
        <w:rPr>
          <w:lang w:val="en-AU"/>
        </w:rPr>
        <w:t xml:space="preserve">bifactor analysis and associated statistical indices </w:t>
      </w:r>
      <w:r w:rsidR="00E71CE0">
        <w:rPr>
          <w:lang w:val="en-AU"/>
        </w:rPr>
        <w:t>indicated that the</w:t>
      </w:r>
      <w:r w:rsidR="00CC3C97" w:rsidRPr="00B424A1">
        <w:rPr>
          <w:lang w:val="en-AU"/>
        </w:rPr>
        <w:t xml:space="preserve"> </w:t>
      </w:r>
      <w:r w:rsidR="0073263E" w:rsidRPr="00B424A1">
        <w:rPr>
          <w:lang w:val="en-AU"/>
        </w:rPr>
        <w:t>general</w:t>
      </w:r>
      <w:r w:rsidR="00AE697A" w:rsidRPr="00B424A1">
        <w:rPr>
          <w:lang w:val="en-AU"/>
        </w:rPr>
        <w:t xml:space="preserve"> factor </w:t>
      </w:r>
      <w:r w:rsidR="00BC3AA9">
        <w:rPr>
          <w:lang w:val="en-AU"/>
        </w:rPr>
        <w:t xml:space="preserve">of the DASS </w:t>
      </w:r>
      <w:r w:rsidR="00FB2227">
        <w:rPr>
          <w:lang w:val="en-AU"/>
        </w:rPr>
        <w:t>represented a</w:t>
      </w:r>
      <w:r w:rsidR="00CC3C97" w:rsidRPr="00B424A1">
        <w:rPr>
          <w:lang w:val="en-AU"/>
        </w:rPr>
        <w:t xml:space="preserve"> </w:t>
      </w:r>
      <w:r w:rsidR="00AE697A" w:rsidRPr="00B424A1">
        <w:rPr>
          <w:lang w:val="en-AU"/>
        </w:rPr>
        <w:t>reliable</w:t>
      </w:r>
      <w:r w:rsidR="004774CD">
        <w:rPr>
          <w:lang w:val="en-AU"/>
        </w:rPr>
        <w:t xml:space="preserve"> and </w:t>
      </w:r>
      <w:r w:rsidR="00AE697A" w:rsidRPr="00B424A1">
        <w:rPr>
          <w:lang w:val="en-AU"/>
        </w:rPr>
        <w:t xml:space="preserve">coherent </w:t>
      </w:r>
      <w:r w:rsidR="00FB2227">
        <w:rPr>
          <w:lang w:val="en-AU"/>
        </w:rPr>
        <w:t>construct</w:t>
      </w:r>
      <w:r w:rsidR="001C39C2">
        <w:rPr>
          <w:lang w:val="en-AU"/>
        </w:rPr>
        <w:t xml:space="preserve">, capturing most of the </w:t>
      </w:r>
      <w:r w:rsidR="00A36B4A">
        <w:rPr>
          <w:lang w:val="en-AU"/>
        </w:rPr>
        <w:t xml:space="preserve">systematic </w:t>
      </w:r>
      <w:r w:rsidR="004774CD">
        <w:rPr>
          <w:lang w:val="en-AU"/>
        </w:rPr>
        <w:t xml:space="preserve">variance in </w:t>
      </w:r>
      <w:r w:rsidR="00BC3AA9">
        <w:rPr>
          <w:lang w:val="en-AU"/>
        </w:rPr>
        <w:t xml:space="preserve">the scale </w:t>
      </w:r>
      <w:r w:rsidR="004774CD">
        <w:rPr>
          <w:lang w:val="en-AU"/>
        </w:rPr>
        <w:t>scores</w:t>
      </w:r>
      <w:r w:rsidR="00FB2227">
        <w:rPr>
          <w:lang w:val="en-AU"/>
        </w:rPr>
        <w:t xml:space="preserve">. </w:t>
      </w:r>
      <w:r w:rsidR="00AE697A" w:rsidRPr="00B424A1">
        <w:rPr>
          <w:lang w:val="en-AU"/>
        </w:rPr>
        <w:t xml:space="preserve">Therefore, the DASS </w:t>
      </w:r>
      <w:r w:rsidR="00E71CE0">
        <w:rPr>
          <w:lang w:val="en-AU"/>
        </w:rPr>
        <w:t>remains valuable as</w:t>
      </w:r>
      <w:r w:rsidR="00AE697A" w:rsidRPr="00B424A1">
        <w:rPr>
          <w:lang w:val="en-AU"/>
        </w:rPr>
        <w:t xml:space="preserve"> a screening tool</w:t>
      </w:r>
      <w:r w:rsidR="00FB2227">
        <w:rPr>
          <w:lang w:val="en-AU"/>
        </w:rPr>
        <w:t xml:space="preserve"> in TBI</w:t>
      </w:r>
      <w:r w:rsidR="00E71CE0">
        <w:rPr>
          <w:lang w:val="en-AU"/>
        </w:rPr>
        <w:t>. H</w:t>
      </w:r>
      <w:r w:rsidR="00AE697A" w:rsidRPr="00B424A1">
        <w:rPr>
          <w:lang w:val="en-AU"/>
        </w:rPr>
        <w:t>owever</w:t>
      </w:r>
      <w:r w:rsidR="00565E4E" w:rsidRPr="00B424A1">
        <w:rPr>
          <w:lang w:val="en-AU"/>
        </w:rPr>
        <w:t>,</w:t>
      </w:r>
      <w:r w:rsidR="00AE697A" w:rsidRPr="00B424A1">
        <w:rPr>
          <w:lang w:val="en-AU"/>
        </w:rPr>
        <w:t xml:space="preserve"> we recommend </w:t>
      </w:r>
      <w:r w:rsidR="00E71CE0">
        <w:rPr>
          <w:lang w:val="en-AU"/>
        </w:rPr>
        <w:t>considering</w:t>
      </w:r>
      <w:r w:rsidR="00AE697A" w:rsidRPr="00B424A1">
        <w:rPr>
          <w:lang w:val="en-AU"/>
        </w:rPr>
        <w:t xml:space="preserve"> the total score as a</w:t>
      </w:r>
      <w:r w:rsidR="0050001E" w:rsidRPr="00B424A1">
        <w:rPr>
          <w:lang w:val="en-AU"/>
        </w:rPr>
        <w:t xml:space="preserve"> more </w:t>
      </w:r>
      <w:r w:rsidR="00283D3E" w:rsidRPr="00B424A1">
        <w:rPr>
          <w:lang w:val="en-AU"/>
        </w:rPr>
        <w:t>psychometrically</w:t>
      </w:r>
      <w:r w:rsidR="007A4CEE">
        <w:rPr>
          <w:lang w:val="en-AU"/>
        </w:rPr>
        <w:t xml:space="preserve"> justified, </w:t>
      </w:r>
      <w:r w:rsidR="00F84B17" w:rsidRPr="00B424A1">
        <w:rPr>
          <w:lang w:val="en-AU"/>
        </w:rPr>
        <w:t>transdiagnostic</w:t>
      </w:r>
      <w:r w:rsidR="00713D22" w:rsidRPr="00B424A1">
        <w:rPr>
          <w:lang w:val="en-AU"/>
        </w:rPr>
        <w:t xml:space="preserve"> approach to </w:t>
      </w:r>
      <w:r w:rsidR="00565E4E" w:rsidRPr="00B424A1">
        <w:rPr>
          <w:lang w:val="en-AU"/>
        </w:rPr>
        <w:t>measuring</w:t>
      </w:r>
      <w:r w:rsidR="0050001E" w:rsidRPr="00B424A1">
        <w:rPr>
          <w:lang w:val="en-AU"/>
        </w:rPr>
        <w:t xml:space="preserve"> </w:t>
      </w:r>
      <w:r w:rsidR="00F163A7" w:rsidRPr="00B424A1">
        <w:rPr>
          <w:lang w:val="en-AU"/>
        </w:rPr>
        <w:t>general emotional distress</w:t>
      </w:r>
      <w:r w:rsidR="0050001E" w:rsidRPr="00B424A1">
        <w:rPr>
          <w:lang w:val="en-AU"/>
        </w:rPr>
        <w:t xml:space="preserve"> </w:t>
      </w:r>
      <w:r w:rsidR="00FB2227">
        <w:rPr>
          <w:lang w:val="en-AU"/>
        </w:rPr>
        <w:t>in this population</w:t>
      </w:r>
      <w:r w:rsidR="00175B9B">
        <w:rPr>
          <w:lang w:val="en-AU"/>
        </w:rPr>
        <w:t>.</w:t>
      </w:r>
    </w:p>
    <w:p w14:paraId="6BAA79B0" w14:textId="78C00F3F" w:rsidR="00E71CE0" w:rsidRDefault="00E71CE0" w:rsidP="00CD65E6">
      <w:pPr>
        <w:rPr>
          <w:lang w:val="en-AU"/>
        </w:rPr>
      </w:pPr>
      <w:r>
        <w:rPr>
          <w:lang w:val="en-AU"/>
        </w:rPr>
        <w:t>The DASS manual already documents the use of the total score as a measure of “negative emotional symptoms”</w:t>
      </w:r>
      <w:r w:rsidR="007B5A51" w:rsidRPr="00B424A1">
        <w:rPr>
          <w:lang w:val="en-AU"/>
        </w:rPr>
        <w:t xml:space="preserve"> (</w:t>
      </w:r>
      <w:r>
        <w:rPr>
          <w:lang w:val="en-AU"/>
        </w:rPr>
        <w:t xml:space="preserve">see </w:t>
      </w:r>
      <w:hyperlink r:id="rId10" w:history="1">
        <w:r w:rsidRPr="00E71CE0">
          <w:rPr>
            <w:rStyle w:val="Hyperlink"/>
            <w:color w:val="0070C0"/>
            <w:lang w:val="en-AU"/>
          </w:rPr>
          <w:t>https://www2.psy.unsw.edu.au/dass/DASSFAQ.htm</w:t>
        </w:r>
      </w:hyperlink>
      <w:r w:rsidR="00AA4309" w:rsidRPr="00B424A1">
        <w:rPr>
          <w:lang w:val="en-AU"/>
        </w:rPr>
        <w:t>)</w:t>
      </w:r>
      <w:r w:rsidR="007D7794" w:rsidRPr="00B424A1">
        <w:rPr>
          <w:lang w:val="en-AU"/>
        </w:rPr>
        <w:t xml:space="preserve">. </w:t>
      </w:r>
      <w:r w:rsidR="00CD65E6">
        <w:rPr>
          <w:lang w:val="en-AU"/>
        </w:rPr>
        <w:t>The authors of the DASS</w:t>
      </w:r>
      <w:r w:rsidR="007D7794" w:rsidRPr="00B424A1">
        <w:rPr>
          <w:lang w:val="en-AU"/>
        </w:rPr>
        <w:t xml:space="preserve"> recommend utili</w:t>
      </w:r>
      <w:r w:rsidR="008A3859">
        <w:rPr>
          <w:lang w:val="en-AU"/>
        </w:rPr>
        <w:t>z</w:t>
      </w:r>
      <w:r w:rsidR="007D7794" w:rsidRPr="00B424A1">
        <w:rPr>
          <w:lang w:val="en-AU"/>
        </w:rPr>
        <w:t xml:space="preserve">ing </w:t>
      </w:r>
      <w:r w:rsidR="00CD65E6">
        <w:rPr>
          <w:lang w:val="en-AU"/>
        </w:rPr>
        <w:t xml:space="preserve">the </w:t>
      </w:r>
      <w:r w:rsidR="007D7794" w:rsidRPr="00B424A1">
        <w:rPr>
          <w:lang w:val="en-AU"/>
        </w:rPr>
        <w:t>normative data</w:t>
      </w:r>
      <w:r w:rsidR="00CD65E6">
        <w:rPr>
          <w:lang w:val="en-AU"/>
        </w:rPr>
        <w:t xml:space="preserve"> provided in the manual</w:t>
      </w:r>
      <w:r>
        <w:rPr>
          <w:lang w:val="en-AU"/>
        </w:rPr>
        <w:t>,</w:t>
      </w:r>
      <w:r w:rsidR="00CB7EBD" w:rsidRPr="00B424A1">
        <w:rPr>
          <w:lang w:val="en-AU"/>
        </w:rPr>
        <w:t xml:space="preserve"> obtaining a separate </w:t>
      </w:r>
      <w:r w:rsidR="00CB7EBD" w:rsidRPr="00FB2227">
        <w:rPr>
          <w:i/>
          <w:iCs/>
          <w:lang w:val="en-AU"/>
        </w:rPr>
        <w:t>z</w:t>
      </w:r>
      <w:r w:rsidR="00CB7EBD" w:rsidRPr="00B424A1">
        <w:rPr>
          <w:lang w:val="en-AU"/>
        </w:rPr>
        <w:t>-score for each scale</w:t>
      </w:r>
      <w:r w:rsidR="002824CC" w:rsidRPr="00B424A1">
        <w:rPr>
          <w:lang w:val="en-AU"/>
        </w:rPr>
        <w:t>,</w:t>
      </w:r>
      <w:r>
        <w:rPr>
          <w:lang w:val="en-AU"/>
        </w:rPr>
        <w:t xml:space="preserve"> </w:t>
      </w:r>
      <w:r w:rsidR="00E40070" w:rsidRPr="00B424A1">
        <w:rPr>
          <w:lang w:val="en-AU"/>
        </w:rPr>
        <w:t xml:space="preserve">averaging </w:t>
      </w:r>
      <w:r w:rsidR="00AF3113" w:rsidRPr="00B424A1">
        <w:rPr>
          <w:lang w:val="en-AU"/>
        </w:rPr>
        <w:t xml:space="preserve">the three </w:t>
      </w:r>
      <w:r w:rsidR="00047A4D" w:rsidRPr="00FB2227">
        <w:rPr>
          <w:i/>
          <w:iCs/>
          <w:lang w:val="en-AU"/>
        </w:rPr>
        <w:t>z</w:t>
      </w:r>
      <w:r w:rsidR="00047A4D" w:rsidRPr="00B424A1">
        <w:rPr>
          <w:lang w:val="en-AU"/>
        </w:rPr>
        <w:t>-score</w:t>
      </w:r>
      <w:r w:rsidR="00E40070" w:rsidRPr="00B424A1">
        <w:rPr>
          <w:lang w:val="en-AU"/>
        </w:rPr>
        <w:t>s</w:t>
      </w:r>
      <w:r>
        <w:rPr>
          <w:lang w:val="en-AU"/>
        </w:rPr>
        <w:t>,</w:t>
      </w:r>
      <w:r w:rsidR="00047A4D" w:rsidRPr="00B424A1">
        <w:rPr>
          <w:lang w:val="en-AU"/>
        </w:rPr>
        <w:t xml:space="preserve"> </w:t>
      </w:r>
      <w:r w:rsidR="00E40070" w:rsidRPr="00B424A1">
        <w:rPr>
          <w:lang w:val="en-AU"/>
        </w:rPr>
        <w:t>and</w:t>
      </w:r>
      <w:r w:rsidR="002824CC" w:rsidRPr="00B424A1">
        <w:rPr>
          <w:lang w:val="en-AU"/>
        </w:rPr>
        <w:t xml:space="preserve"> compar</w:t>
      </w:r>
      <w:r w:rsidR="00E40070" w:rsidRPr="00B424A1">
        <w:rPr>
          <w:lang w:val="en-AU"/>
        </w:rPr>
        <w:t>ing</w:t>
      </w:r>
      <w:r w:rsidR="00CD65E6">
        <w:rPr>
          <w:lang w:val="en-AU"/>
        </w:rPr>
        <w:t xml:space="preserve"> to</w:t>
      </w:r>
      <w:r w:rsidR="00DD692C" w:rsidRPr="00B424A1">
        <w:rPr>
          <w:lang w:val="en-AU"/>
        </w:rPr>
        <w:t xml:space="preserve"> severity </w:t>
      </w:r>
      <w:r w:rsidR="00CD65E6">
        <w:rPr>
          <w:lang w:val="en-AU"/>
        </w:rPr>
        <w:t>in the same way as for individual scales</w:t>
      </w:r>
      <w:r w:rsidR="00DD692C" w:rsidRPr="00B424A1">
        <w:rPr>
          <w:lang w:val="en-AU"/>
        </w:rPr>
        <w:t xml:space="preserve">. </w:t>
      </w:r>
      <w:r w:rsidR="00175B9B">
        <w:rPr>
          <w:lang w:val="en-AU"/>
        </w:rPr>
        <w:t>N</w:t>
      </w:r>
      <w:r w:rsidR="007B3AA9" w:rsidRPr="00B424A1">
        <w:rPr>
          <w:lang w:val="en-AU"/>
        </w:rPr>
        <w:t xml:space="preserve">ormative data </w:t>
      </w:r>
      <w:r>
        <w:rPr>
          <w:lang w:val="en-AU"/>
        </w:rPr>
        <w:t>for the</w:t>
      </w:r>
      <w:r w:rsidR="001B7598" w:rsidRPr="00B424A1">
        <w:rPr>
          <w:lang w:val="en-AU"/>
        </w:rPr>
        <w:t xml:space="preserve"> </w:t>
      </w:r>
      <w:r w:rsidR="00C10C11">
        <w:rPr>
          <w:lang w:val="en-AU"/>
        </w:rPr>
        <w:t xml:space="preserve">total </w:t>
      </w:r>
      <w:r w:rsidR="001B7598" w:rsidRPr="00B424A1">
        <w:rPr>
          <w:lang w:val="en-AU"/>
        </w:rPr>
        <w:t xml:space="preserve">score </w:t>
      </w:r>
      <w:r w:rsidR="00CD65E6">
        <w:rPr>
          <w:lang w:val="en-AU"/>
        </w:rPr>
        <w:t xml:space="preserve">have also been published </w:t>
      </w:r>
      <w:r w:rsidR="007B3AA9" w:rsidRPr="00B424A1">
        <w:rPr>
          <w:lang w:val="en-AU"/>
        </w:rPr>
        <w:t>from the general adult population</w:t>
      </w:r>
      <w:r w:rsidR="007F1172" w:rsidRPr="00B424A1">
        <w:rPr>
          <w:lang w:val="en-AU"/>
        </w:rPr>
        <w:t xml:space="preserve"> </w:t>
      </w:r>
      <w:r w:rsidR="00FB2227">
        <w:rPr>
          <w:lang w:val="en-AU"/>
        </w:rPr>
        <w:t>in both the United Kingdom</w:t>
      </w:r>
      <w:r>
        <w:rPr>
          <w:lang w:val="en-AU"/>
        </w:rPr>
        <w:t xml:space="preserve"> </w:t>
      </w:r>
      <w:r w:rsidR="007F1172" w:rsidRPr="00B424A1">
        <w:rPr>
          <w:lang w:val="en-AU"/>
        </w:rPr>
        <w:t>(Crawford et al., 2009</w:t>
      </w:r>
      <w:r w:rsidR="00CD65E6">
        <w:rPr>
          <w:lang w:val="en-AU"/>
        </w:rPr>
        <w:t>)</w:t>
      </w:r>
      <w:r w:rsidR="00FB2227">
        <w:rPr>
          <w:lang w:val="en-AU"/>
        </w:rPr>
        <w:t xml:space="preserve"> and Australia (Crawford et al., 2011</w:t>
      </w:r>
      <w:r w:rsidR="007F1172" w:rsidRPr="00B424A1">
        <w:rPr>
          <w:lang w:val="en-AU"/>
        </w:rPr>
        <w:t>)</w:t>
      </w:r>
      <w:r w:rsidR="00FB2227">
        <w:rPr>
          <w:lang w:val="en-AU"/>
        </w:rPr>
        <w:t xml:space="preserve">, </w:t>
      </w:r>
      <w:r>
        <w:rPr>
          <w:lang w:val="en-AU"/>
        </w:rPr>
        <w:t>providing additional means to describe the level of general emotional distress.</w:t>
      </w:r>
    </w:p>
    <w:p w14:paraId="25F829B6" w14:textId="1DA74487" w:rsidR="00467371" w:rsidRPr="00B424A1" w:rsidRDefault="00E71CE0" w:rsidP="00175B9B">
      <w:pPr>
        <w:rPr>
          <w:lang w:val="en-AU"/>
        </w:rPr>
      </w:pPr>
      <w:r>
        <w:rPr>
          <w:lang w:val="en-AU"/>
        </w:rPr>
        <w:t>The DASS total score could serve as a</w:t>
      </w:r>
      <w:r w:rsidR="009761E9">
        <w:rPr>
          <w:lang w:val="en-AU"/>
        </w:rPr>
        <w:t xml:space="preserve"> </w:t>
      </w:r>
      <w:r w:rsidR="00FB2227">
        <w:rPr>
          <w:lang w:val="en-AU"/>
        </w:rPr>
        <w:t xml:space="preserve">useful </w:t>
      </w:r>
      <w:r w:rsidR="009761E9">
        <w:rPr>
          <w:lang w:val="en-AU"/>
        </w:rPr>
        <w:t>initial screen</w:t>
      </w:r>
      <w:r w:rsidR="009761E9" w:rsidRPr="00B424A1">
        <w:rPr>
          <w:lang w:val="en-AU"/>
        </w:rPr>
        <w:t xml:space="preserve"> for </w:t>
      </w:r>
      <w:r w:rsidR="00565E4E" w:rsidRPr="00B424A1">
        <w:rPr>
          <w:lang w:val="en-AU"/>
        </w:rPr>
        <w:t>individuals</w:t>
      </w:r>
      <w:r>
        <w:rPr>
          <w:lang w:val="en-AU"/>
        </w:rPr>
        <w:t xml:space="preserve"> with TBI</w:t>
      </w:r>
      <w:r w:rsidR="00565E4E" w:rsidRPr="00B424A1">
        <w:rPr>
          <w:lang w:val="en-AU"/>
        </w:rPr>
        <w:t xml:space="preserve"> who may require a more detailed psychiatric evaluation</w:t>
      </w:r>
      <w:r w:rsidR="00565E4E" w:rsidRPr="00964DCC">
        <w:rPr>
          <w:lang w:val="en-AU"/>
        </w:rPr>
        <w:t>.</w:t>
      </w:r>
      <w:r w:rsidR="00565E4E" w:rsidRPr="00B424A1">
        <w:rPr>
          <w:lang w:val="en-AU"/>
        </w:rPr>
        <w:t xml:space="preserve"> </w:t>
      </w:r>
      <w:r>
        <w:rPr>
          <w:lang w:val="en-AU"/>
        </w:rPr>
        <w:t>This</w:t>
      </w:r>
      <w:r w:rsidR="00565E4E" w:rsidRPr="00B424A1">
        <w:rPr>
          <w:lang w:val="en-AU"/>
        </w:rPr>
        <w:t xml:space="preserve"> </w:t>
      </w:r>
      <w:r w:rsidR="00FB2227">
        <w:rPr>
          <w:lang w:val="en-AU"/>
        </w:rPr>
        <w:t xml:space="preserve">transdiagnostic, </w:t>
      </w:r>
      <w:r w:rsidR="00565E4E" w:rsidRPr="00964DCC">
        <w:rPr>
          <w:lang w:val="en-AU"/>
        </w:rPr>
        <w:t>dimensional characterization</w:t>
      </w:r>
      <w:r w:rsidR="007408FC" w:rsidRPr="00B424A1">
        <w:rPr>
          <w:lang w:val="en-AU"/>
        </w:rPr>
        <w:t xml:space="preserve"> of</w:t>
      </w:r>
      <w:r w:rsidR="00565E4E" w:rsidRPr="00B424A1">
        <w:rPr>
          <w:lang w:val="en-AU"/>
        </w:rPr>
        <w:t xml:space="preserve"> emotional distress</w:t>
      </w:r>
      <w:r>
        <w:rPr>
          <w:lang w:val="en-AU"/>
        </w:rPr>
        <w:t xml:space="preserve"> </w:t>
      </w:r>
      <w:r w:rsidR="00175B9B">
        <w:rPr>
          <w:lang w:val="en-AU"/>
        </w:rPr>
        <w:t xml:space="preserve">may </w:t>
      </w:r>
      <w:r w:rsidR="00175B9B" w:rsidRPr="00996F86">
        <w:t xml:space="preserve">be more inclusive for many individuals with TBI </w:t>
      </w:r>
      <w:r w:rsidR="00175B9B" w:rsidRPr="00996F86">
        <w:lastRenderedPageBreak/>
        <w:t xml:space="preserve">who do not fit neatly into traditional diagnostic criteria after their injury but might nevertheless benefit from treatment </w:t>
      </w:r>
      <w:r w:rsidR="00FB2227">
        <w:rPr>
          <w:lang w:val="en-AU"/>
        </w:rPr>
        <w:t>(Alway et al., 2016; Gould et al., 2011b; Ouellet et al., 2018)</w:t>
      </w:r>
      <w:r w:rsidR="00175B9B">
        <w:rPr>
          <w:lang w:val="en-AU"/>
        </w:rPr>
        <w:t xml:space="preserve">. Additionally, this approach could be beneficial in identifying individuals currently below </w:t>
      </w:r>
      <w:r w:rsidR="00565E4E" w:rsidRPr="00B424A1">
        <w:rPr>
          <w:lang w:val="en-AU"/>
        </w:rPr>
        <w:t xml:space="preserve">the threshold </w:t>
      </w:r>
      <w:r>
        <w:rPr>
          <w:lang w:val="en-AU"/>
        </w:rPr>
        <w:t>for diagnosis of</w:t>
      </w:r>
      <w:r w:rsidR="00565E4E" w:rsidRPr="00B424A1">
        <w:rPr>
          <w:lang w:val="en-AU"/>
        </w:rPr>
        <w:t xml:space="preserve"> a </w:t>
      </w:r>
      <w:r w:rsidR="00FB2227">
        <w:rPr>
          <w:lang w:val="en-AU"/>
        </w:rPr>
        <w:t>psychiatric</w:t>
      </w:r>
      <w:r w:rsidR="00565E4E" w:rsidRPr="00B424A1">
        <w:rPr>
          <w:lang w:val="en-AU"/>
        </w:rPr>
        <w:t xml:space="preserve"> d</w:t>
      </w:r>
      <w:r w:rsidR="00AC1597" w:rsidRPr="00B424A1">
        <w:rPr>
          <w:lang w:val="en-AU"/>
        </w:rPr>
        <w:t>isorder</w:t>
      </w:r>
      <w:r w:rsidR="00565E4E" w:rsidRPr="00B424A1">
        <w:rPr>
          <w:lang w:val="en-AU"/>
        </w:rPr>
        <w:t xml:space="preserve"> but at risk </w:t>
      </w:r>
      <w:r w:rsidR="001C39C2">
        <w:rPr>
          <w:lang w:val="en-AU"/>
        </w:rPr>
        <w:t>of</w:t>
      </w:r>
      <w:r w:rsidR="00565E4E" w:rsidRPr="00B424A1">
        <w:rPr>
          <w:lang w:val="en-AU"/>
        </w:rPr>
        <w:t xml:space="preserve"> developing </w:t>
      </w:r>
      <w:r w:rsidR="00175B9B">
        <w:rPr>
          <w:lang w:val="en-AU"/>
        </w:rPr>
        <w:t>one later</w:t>
      </w:r>
      <w:r w:rsidR="00AC1597" w:rsidRPr="00B424A1">
        <w:rPr>
          <w:lang w:val="en-AU"/>
        </w:rPr>
        <w:t xml:space="preserve"> </w:t>
      </w:r>
      <w:r w:rsidR="00565E4E" w:rsidRPr="00B424A1">
        <w:rPr>
          <w:lang w:val="en-AU"/>
        </w:rPr>
        <w:t xml:space="preserve">(Hart et al., 2012). </w:t>
      </w:r>
      <w:r w:rsidR="001C39C2">
        <w:rPr>
          <w:lang w:val="en-AU"/>
        </w:rPr>
        <w:t>F</w:t>
      </w:r>
      <w:r>
        <w:rPr>
          <w:lang w:val="en-AU"/>
        </w:rPr>
        <w:t xml:space="preserve">uture research is needed to assess the clinical utility of the DASS total score, </w:t>
      </w:r>
      <w:r w:rsidR="006802B0">
        <w:rPr>
          <w:lang w:val="en-AU"/>
        </w:rPr>
        <w:t>including the derivation of</w:t>
      </w:r>
      <w:r>
        <w:rPr>
          <w:lang w:val="en-AU"/>
        </w:rPr>
        <w:t xml:space="preserve"> cut-offs </w:t>
      </w:r>
      <w:r w:rsidR="006802B0">
        <w:rPr>
          <w:lang w:val="en-AU"/>
        </w:rPr>
        <w:t>validated against</w:t>
      </w:r>
      <w:r>
        <w:rPr>
          <w:lang w:val="en-AU"/>
        </w:rPr>
        <w:t xml:space="preserve"> important clinical outcomes </w:t>
      </w:r>
      <w:r w:rsidR="006802B0">
        <w:rPr>
          <w:lang w:val="en-AU"/>
        </w:rPr>
        <w:t xml:space="preserve">such as </w:t>
      </w:r>
      <w:r>
        <w:rPr>
          <w:lang w:val="en-AU"/>
        </w:rPr>
        <w:t xml:space="preserve">functional </w:t>
      </w:r>
      <w:r w:rsidR="006802B0">
        <w:rPr>
          <w:lang w:val="en-AU"/>
        </w:rPr>
        <w:t>disability, quality of life, or the need for psychiatric treatment</w:t>
      </w:r>
      <w:r w:rsidR="00565E4E" w:rsidRPr="00B424A1">
        <w:rPr>
          <w:lang w:val="en-AU"/>
        </w:rPr>
        <w:t>. Moreover, g</w:t>
      </w:r>
      <w:r w:rsidR="00263A8A" w:rsidRPr="00B424A1">
        <w:rPr>
          <w:lang w:val="en-AU"/>
        </w:rPr>
        <w:t xml:space="preserve">iven the </w:t>
      </w:r>
      <w:r w:rsidR="00080556" w:rsidRPr="00B424A1">
        <w:rPr>
          <w:lang w:val="en-AU"/>
        </w:rPr>
        <w:t>DASS42</w:t>
      </w:r>
      <w:r w:rsidR="00263A8A" w:rsidRPr="00B424A1">
        <w:rPr>
          <w:lang w:val="en-AU"/>
        </w:rPr>
        <w:t xml:space="preserve"> did not yield</w:t>
      </w:r>
      <w:r w:rsidR="008769AB" w:rsidRPr="00B424A1">
        <w:rPr>
          <w:lang w:val="en-AU"/>
        </w:rPr>
        <w:t xml:space="preserve"> </w:t>
      </w:r>
      <w:r w:rsidR="004B4CDF" w:rsidRPr="00B424A1">
        <w:rPr>
          <w:lang w:val="en-AU"/>
        </w:rPr>
        <w:t xml:space="preserve">improved </w:t>
      </w:r>
      <w:r w:rsidR="009E619C" w:rsidRPr="00B424A1">
        <w:rPr>
          <w:lang w:val="en-AU"/>
        </w:rPr>
        <w:t xml:space="preserve">reliability </w:t>
      </w:r>
      <w:r w:rsidR="00351441" w:rsidRPr="00B424A1">
        <w:rPr>
          <w:lang w:val="en-AU"/>
        </w:rPr>
        <w:t xml:space="preserve">of the individual scales or </w:t>
      </w:r>
      <w:r w:rsidR="00DC14E8">
        <w:rPr>
          <w:lang w:val="en-AU"/>
        </w:rPr>
        <w:t>greater multidimensionality</w:t>
      </w:r>
      <w:r w:rsidR="007F1172" w:rsidRPr="00B424A1">
        <w:rPr>
          <w:lang w:val="en-AU"/>
        </w:rPr>
        <w:t xml:space="preserve"> in this study</w:t>
      </w:r>
      <w:r w:rsidR="00351441" w:rsidRPr="00B424A1">
        <w:rPr>
          <w:lang w:val="en-AU"/>
        </w:rPr>
        <w:t>,</w:t>
      </w:r>
      <w:r w:rsidR="00147D70" w:rsidRPr="00B424A1">
        <w:rPr>
          <w:lang w:val="en-AU"/>
        </w:rPr>
        <w:t xml:space="preserve"> the use of th</w:t>
      </w:r>
      <w:r w:rsidR="00D16BBC" w:rsidRPr="00B424A1">
        <w:rPr>
          <w:lang w:val="en-AU"/>
        </w:rPr>
        <w:t xml:space="preserve">e </w:t>
      </w:r>
      <w:r w:rsidR="000B1910" w:rsidRPr="00B424A1">
        <w:rPr>
          <w:lang w:val="en-AU"/>
        </w:rPr>
        <w:t>DASS42</w:t>
      </w:r>
      <w:r w:rsidR="00147D70" w:rsidRPr="00B424A1">
        <w:rPr>
          <w:lang w:val="en-AU"/>
        </w:rPr>
        <w:t xml:space="preserve"> for the purpose of more thorough screening may be </w:t>
      </w:r>
      <w:r w:rsidR="00760D81" w:rsidRPr="00B424A1">
        <w:rPr>
          <w:lang w:val="en-AU"/>
        </w:rPr>
        <w:t>trivial in practice</w:t>
      </w:r>
      <w:r w:rsidR="00D16BBC" w:rsidRPr="00B424A1">
        <w:rPr>
          <w:lang w:val="en-AU"/>
        </w:rPr>
        <w:t xml:space="preserve"> </w:t>
      </w:r>
      <w:r w:rsidR="000B1910" w:rsidRPr="00B424A1">
        <w:rPr>
          <w:lang w:val="en-AU"/>
        </w:rPr>
        <w:t>and unduly increase</w:t>
      </w:r>
      <w:r w:rsidR="00D16BBC" w:rsidRPr="00B424A1">
        <w:rPr>
          <w:lang w:val="en-AU"/>
        </w:rPr>
        <w:t xml:space="preserve"> burden on </w:t>
      </w:r>
      <w:r w:rsidR="000B1910" w:rsidRPr="00B424A1">
        <w:rPr>
          <w:lang w:val="en-AU"/>
        </w:rPr>
        <w:t>individuals with TBI</w:t>
      </w:r>
      <w:r w:rsidR="008E699C">
        <w:rPr>
          <w:lang w:val="en-AU"/>
        </w:rPr>
        <w:t>.</w:t>
      </w:r>
    </w:p>
    <w:p w14:paraId="30BD0493" w14:textId="60D00EC2" w:rsidR="0007679E" w:rsidRPr="0007679E" w:rsidRDefault="007F1172" w:rsidP="0007679E">
      <w:r w:rsidRPr="0007679E">
        <w:t>Since the</w:t>
      </w:r>
      <w:r w:rsidR="00C3304A" w:rsidRPr="0007679E">
        <w:t xml:space="preserve"> DASS </w:t>
      </w:r>
      <w:r w:rsidR="0007679E">
        <w:t>seems</w:t>
      </w:r>
      <w:r w:rsidR="007B3AA9" w:rsidRPr="0007679E">
        <w:t xml:space="preserve"> more</w:t>
      </w:r>
      <w:r w:rsidR="00C3304A" w:rsidRPr="0007679E">
        <w:t xml:space="preserve"> </w:t>
      </w:r>
      <w:r w:rsidR="004C72D0" w:rsidRPr="0007679E">
        <w:t>justifiable</w:t>
      </w:r>
      <w:r w:rsidR="00C3304A" w:rsidRPr="0007679E">
        <w:t xml:space="preserve"> as a measure of ‘general distress’</w:t>
      </w:r>
      <w:r w:rsidR="008769AB" w:rsidRPr="0007679E">
        <w:t xml:space="preserve"> </w:t>
      </w:r>
      <w:r w:rsidR="00E71CE0" w:rsidRPr="0007679E">
        <w:t xml:space="preserve">in TBI </w:t>
      </w:r>
      <w:r w:rsidR="008769AB" w:rsidRPr="0007679E">
        <w:t xml:space="preserve">compared </w:t>
      </w:r>
      <w:r w:rsidR="00C10C11" w:rsidRPr="0007679E">
        <w:t>to</w:t>
      </w:r>
      <w:r w:rsidR="008769AB" w:rsidRPr="0007679E">
        <w:t xml:space="preserve"> the </w:t>
      </w:r>
      <w:r w:rsidR="00AD2EDA" w:rsidRPr="0007679E">
        <w:t>conventional three factor-scoring</w:t>
      </w:r>
      <w:r w:rsidR="00C3304A" w:rsidRPr="0007679E">
        <w:t xml:space="preserve">, </w:t>
      </w:r>
      <w:r w:rsidRPr="0007679E">
        <w:t xml:space="preserve">an important direction for future research is </w:t>
      </w:r>
      <w:r w:rsidR="00482613" w:rsidRPr="0007679E">
        <w:t>determining how we can</w:t>
      </w:r>
      <w:r w:rsidR="00296C72" w:rsidRPr="0007679E">
        <w:t xml:space="preserve"> reliably parse more specific</w:t>
      </w:r>
      <w:r w:rsidR="008D4F8C" w:rsidRPr="0007679E">
        <w:t xml:space="preserve"> symptom dimensions</w:t>
      </w:r>
      <w:r w:rsidR="000455C4" w:rsidRPr="0007679E">
        <w:t xml:space="preserve"> </w:t>
      </w:r>
      <w:r w:rsidR="00E71CE0" w:rsidRPr="0007679E">
        <w:t>in this population</w:t>
      </w:r>
      <w:r w:rsidR="008D4F8C" w:rsidRPr="0007679E">
        <w:t xml:space="preserve">. </w:t>
      </w:r>
      <w:r w:rsidR="0007679E" w:rsidRPr="0007679E">
        <w:t>Differentiating</w:t>
      </w:r>
      <w:r w:rsidR="00D67895" w:rsidRPr="0007679E">
        <w:t xml:space="preserve"> narrow</w:t>
      </w:r>
      <w:r w:rsidR="006248A6" w:rsidRPr="0007679E">
        <w:t>er</w:t>
      </w:r>
      <w:r w:rsidR="00D67895" w:rsidRPr="0007679E">
        <w:t xml:space="preserve"> forms of psychopathology (e.g., anhedonia</w:t>
      </w:r>
      <w:r w:rsidR="00565E4E" w:rsidRPr="0007679E">
        <w:t>, panic</w:t>
      </w:r>
      <w:r w:rsidR="00197789" w:rsidRPr="0007679E">
        <w:t xml:space="preserve">) </w:t>
      </w:r>
      <w:r w:rsidR="00D67895" w:rsidRPr="0007679E">
        <w:t>may support</w:t>
      </w:r>
      <w:r w:rsidR="0087240C" w:rsidRPr="0007679E">
        <w:t xml:space="preserve"> </w:t>
      </w:r>
      <w:r w:rsidR="00102361" w:rsidRPr="0007679E">
        <w:t xml:space="preserve">more </w:t>
      </w:r>
      <w:r w:rsidR="00175B9B" w:rsidRPr="0007679E">
        <w:t>comprehensive case formulation and tailored</w:t>
      </w:r>
      <w:r w:rsidR="000672D2">
        <w:t>/targeted</w:t>
      </w:r>
      <w:r w:rsidR="00175B9B" w:rsidRPr="0007679E">
        <w:t xml:space="preserve"> treatment</w:t>
      </w:r>
      <w:r w:rsidR="000A5137" w:rsidRPr="0007679E">
        <w:t xml:space="preserve"> </w:t>
      </w:r>
      <w:r w:rsidR="00380845" w:rsidRPr="0007679E">
        <w:t>(</w:t>
      </w:r>
      <w:r w:rsidR="00527187">
        <w:t>Ruggero</w:t>
      </w:r>
      <w:r w:rsidR="00380845" w:rsidRPr="0007679E">
        <w:t xml:space="preserve"> et al., 201</w:t>
      </w:r>
      <w:r w:rsidR="00527187">
        <w:t>9</w:t>
      </w:r>
      <w:r w:rsidR="00380845" w:rsidRPr="0007679E">
        <w:t>)</w:t>
      </w:r>
      <w:r w:rsidR="0007679E" w:rsidRPr="0007679E">
        <w:t xml:space="preserve">. It can also aid </w:t>
      </w:r>
      <w:r w:rsidR="00175B9B" w:rsidRPr="0007679E">
        <w:t xml:space="preserve">in identifying domain-specific pathways between psychopathology and its </w:t>
      </w:r>
      <w:r w:rsidR="0007679E" w:rsidRPr="0007679E">
        <w:t xml:space="preserve">external correlates </w:t>
      </w:r>
      <w:r w:rsidR="00175B9B" w:rsidRPr="0007679E">
        <w:t xml:space="preserve">(e.g., </w:t>
      </w:r>
      <w:r w:rsidR="0007679E" w:rsidRPr="0007679E">
        <w:t>etiologic factors specific to post-TBI depression; Conway et al., 202</w:t>
      </w:r>
      <w:r w:rsidR="0045379A">
        <w:t>2</w:t>
      </w:r>
      <w:r w:rsidR="00175B9B" w:rsidRPr="0007679E">
        <w:t>)</w:t>
      </w:r>
      <w:r w:rsidR="006E445F" w:rsidRPr="0007679E">
        <w:t xml:space="preserve">. </w:t>
      </w:r>
      <w:r w:rsidR="0007679E" w:rsidRPr="0007679E">
        <w:t xml:space="preserve">It should be noted that the difficulties faced by the DASS in disentangling specific psychopathological symptom dimensions are not unique to this instrument; rather, similar issues have been identified </w:t>
      </w:r>
      <w:r w:rsidR="000672D2">
        <w:t xml:space="preserve">in TBI </w:t>
      </w:r>
      <w:r w:rsidR="0007679E" w:rsidRPr="0007679E">
        <w:t xml:space="preserve">for the HADS (Carmichael et al., 2023) </w:t>
      </w:r>
      <w:r w:rsidR="000672D2">
        <w:t>as well as the</w:t>
      </w:r>
      <w:r w:rsidR="0007679E" w:rsidRPr="0007679E">
        <w:t xml:space="preserve"> Patient Health Questionnaire–9 and Generalized Anxiety Disorder–7</w:t>
      </w:r>
      <w:r w:rsidR="000672D2">
        <w:t xml:space="preserve"> scales</w:t>
      </w:r>
      <w:r w:rsidR="0007679E" w:rsidRPr="0007679E">
        <w:t xml:space="preserve"> </w:t>
      </w:r>
      <w:r w:rsidR="000672D2">
        <w:t xml:space="preserve">when combined </w:t>
      </w:r>
      <w:r w:rsidR="0007679E" w:rsidRPr="0007679E">
        <w:t xml:space="preserve">(Teymoori et al., 2020). </w:t>
      </w:r>
      <w:r w:rsidR="000672D2">
        <w:t xml:space="preserve">These scales were designed to be general measures of depression, anxiety, and other heterogeneously defined and overlapping constructs (Watson et al., 2007, 2022). </w:t>
      </w:r>
    </w:p>
    <w:p w14:paraId="4B915BDE" w14:textId="3A40A4C5" w:rsidR="0032281D" w:rsidRDefault="0007679E" w:rsidP="00B74D88">
      <w:r w:rsidRPr="00B74D88">
        <w:lastRenderedPageBreak/>
        <w:t>In response to</w:t>
      </w:r>
      <w:r w:rsidR="000672D2" w:rsidRPr="00B74D88">
        <w:t xml:space="preserve"> the limited discriminant validity of these brief/general measures</w:t>
      </w:r>
      <w:r w:rsidR="00B74D88" w:rsidRPr="00B74D88">
        <w:t xml:space="preserve"> of psychopathology</w:t>
      </w:r>
      <w:r w:rsidR="000672D2" w:rsidRPr="00B74D88">
        <w:t>, alternative measures optimized for transdiagnostic research</w:t>
      </w:r>
      <w:r w:rsidR="00B74D88" w:rsidRPr="00B74D88">
        <w:t xml:space="preserve"> have been developed</w:t>
      </w:r>
      <w:r w:rsidR="000672D2" w:rsidRPr="00B74D88">
        <w:t xml:space="preserve">, such as the </w:t>
      </w:r>
      <w:r w:rsidR="002E054F" w:rsidRPr="00B74D88">
        <w:t xml:space="preserve">99-item </w:t>
      </w:r>
      <w:r w:rsidR="000672D2" w:rsidRPr="00B74D88">
        <w:t>Inventory of Depression and Anxiety Symptoms (</w:t>
      </w:r>
      <w:r w:rsidR="002E054F" w:rsidRPr="00B74D88">
        <w:t xml:space="preserve">IDAS; </w:t>
      </w:r>
      <w:r w:rsidR="000672D2" w:rsidRPr="00B74D88">
        <w:t>Watson et al., 2007</w:t>
      </w:r>
      <w:r w:rsidR="00DC14E8">
        <w:t>; see Kotov et al., 2017 for a list</w:t>
      </w:r>
      <w:r w:rsidR="000672D2" w:rsidRPr="00B74D88">
        <w:t xml:space="preserve">). In contrast to the DASS, </w:t>
      </w:r>
      <w:r w:rsidR="002E054F" w:rsidRPr="00B74D88">
        <w:t>these alternative measures are more comprehensive, purposely incorporating multiple, non-redundant items</w:t>
      </w:r>
      <w:r w:rsidR="00B74D88" w:rsidRPr="00B74D88">
        <w:t xml:space="preserve"> tapping</w:t>
      </w:r>
      <w:r w:rsidR="002E054F" w:rsidRPr="00B74D88">
        <w:t xml:space="preserve"> the same narrow symptom or trait domain, thereby enabling meaningful</w:t>
      </w:r>
      <w:r w:rsidR="00BD7921">
        <w:t xml:space="preserve">, more homogeneous </w:t>
      </w:r>
      <w:r w:rsidR="002E054F" w:rsidRPr="00B74D88">
        <w:t>subscales to be reliably parsed from a</w:t>
      </w:r>
      <w:r w:rsidR="00B74D88" w:rsidRPr="00B74D88">
        <w:t xml:space="preserve"> more</w:t>
      </w:r>
      <w:r w:rsidR="002E054F" w:rsidRPr="00B74D88">
        <w:t xml:space="preserve"> general psychopathology factor (Stanton et al., 2020). For example, the IDAS includes six items all addressing insomnia, </w:t>
      </w:r>
      <w:r w:rsidR="00B74D88" w:rsidRPr="00B74D88">
        <w:t>facilitating</w:t>
      </w:r>
      <w:r w:rsidR="002E054F" w:rsidRPr="00B74D88">
        <w:t xml:space="preserve"> the identification of a corresponding specific insomnia factor within internalizing psychopathology (Simms et al., 2008; Watson et al., 2007). </w:t>
      </w:r>
      <w:r w:rsidR="001C7AA1" w:rsidRPr="00B74D88">
        <w:t>F</w:t>
      </w:r>
      <w:r w:rsidR="00DD7540" w:rsidRPr="00B74D88">
        <w:t xml:space="preserve">urther research is required to determine </w:t>
      </w:r>
      <w:r w:rsidR="00743A70" w:rsidRPr="00B74D88">
        <w:t>the</w:t>
      </w:r>
      <w:r w:rsidR="00296C72" w:rsidRPr="00B74D88">
        <w:t xml:space="preserve"> applicability of the</w:t>
      </w:r>
      <w:r w:rsidR="002E054F" w:rsidRPr="00B74D88">
        <w:t xml:space="preserve">se transdiagnostic, symptom-oriented </w:t>
      </w:r>
      <w:r w:rsidR="00296C72" w:rsidRPr="00B74D88">
        <w:t>measures to TBI.</w:t>
      </w:r>
      <w:r w:rsidR="00482613" w:rsidRPr="00B74D88">
        <w:t xml:space="preserve"> </w:t>
      </w:r>
      <w:r w:rsidR="00B74D88" w:rsidRPr="00B74D88">
        <w:t>While</w:t>
      </w:r>
      <w:r w:rsidR="002E054F" w:rsidRPr="00B74D88">
        <w:t xml:space="preserve"> these </w:t>
      </w:r>
      <w:r w:rsidR="0099747A">
        <w:t xml:space="preserve">alternative </w:t>
      </w:r>
      <w:r w:rsidR="002E054F" w:rsidRPr="00B74D88">
        <w:t xml:space="preserve">measures may prove beneficial for differentiating narrower forms of psychopathology, the DASS </w:t>
      </w:r>
      <w:r w:rsidR="00B74D88" w:rsidRPr="00B74D88">
        <w:t>offers an</w:t>
      </w:r>
      <w:r w:rsidR="002E054F" w:rsidRPr="00B74D88">
        <w:t xml:space="preserve"> efficient assessment of higher-order</w:t>
      </w:r>
      <w:r w:rsidR="00DC14E8">
        <w:t xml:space="preserve"> </w:t>
      </w:r>
      <w:r w:rsidR="002E054F" w:rsidRPr="00B74D88">
        <w:t xml:space="preserve">general </w:t>
      </w:r>
      <w:r w:rsidR="00B74D88">
        <w:t xml:space="preserve">emotional </w:t>
      </w:r>
      <w:r w:rsidR="002E054F" w:rsidRPr="00B74D88">
        <w:t>distress</w:t>
      </w:r>
      <w:r w:rsidR="00B74D88">
        <w:t xml:space="preserve">. </w:t>
      </w:r>
      <w:r w:rsidR="00C164BC">
        <w:t xml:space="preserve">Measures like the </w:t>
      </w:r>
      <w:r w:rsidR="00B74D88">
        <w:t xml:space="preserve">DASS may therefore be advantageous in </w:t>
      </w:r>
      <w:r w:rsidR="00B74D88" w:rsidRPr="00B74D88">
        <w:t>situations</w:t>
      </w:r>
      <w:r w:rsidR="00B74D88">
        <w:t xml:space="preserve"> with</w:t>
      </w:r>
      <w:r w:rsidR="00B74D88" w:rsidRPr="00B74D88">
        <w:t xml:space="preserve"> time constraints (e.g., acute settings</w:t>
      </w:r>
      <w:r w:rsidR="00B74D88">
        <w:t>, limited insurance-funded treatment</w:t>
      </w:r>
      <w:r w:rsidR="00B74D88" w:rsidRPr="00B74D88">
        <w:t xml:space="preserve">) </w:t>
      </w:r>
      <w:r w:rsidR="00B74D88">
        <w:t>or</w:t>
      </w:r>
      <w:r w:rsidR="00B74D88" w:rsidRPr="00B74D88">
        <w:t xml:space="preserve"> </w:t>
      </w:r>
      <w:r w:rsidR="002E054F" w:rsidRPr="00B74D88">
        <w:t xml:space="preserve">where </w:t>
      </w:r>
      <w:r w:rsidR="00B74D88" w:rsidRPr="00B74D88">
        <w:t>mental health is just one factor among many to be considered.</w:t>
      </w:r>
    </w:p>
    <w:p w14:paraId="3D457B6C" w14:textId="61A61CDE" w:rsidR="00DC14E8" w:rsidRPr="00B74D88" w:rsidRDefault="00DC14E8" w:rsidP="00B74D88">
      <w:r>
        <w:t xml:space="preserve">We recognize that TBI clinicians will already be focused on documenting and treating the specific symptoms of their individual clients, and we do not anticipate them using the DASS as a diagnostic tool </w:t>
      </w:r>
      <w:r w:rsidR="000C1630">
        <w:t xml:space="preserve">for </w:t>
      </w:r>
      <w:r>
        <w:t>discriminat</w:t>
      </w:r>
      <w:r w:rsidR="000C1630">
        <w:t>ing</w:t>
      </w:r>
      <w:r>
        <w:t xml:space="preserve"> depressive and anxiety disorders. </w:t>
      </w:r>
      <w:r w:rsidR="001D0D8B">
        <w:t>Nevertheless, T</w:t>
      </w:r>
      <w:r>
        <w:t>BI clinical scientists should be aware that scores on each c</w:t>
      </w:r>
      <w:r w:rsidR="000C1630">
        <w:t xml:space="preserve">onventional </w:t>
      </w:r>
      <w:r>
        <w:t xml:space="preserve">DASS scale are mostly a function of a shared, non-specific component of general distress. Using </w:t>
      </w:r>
      <w:r w:rsidR="000C1630">
        <w:t>these</w:t>
      </w:r>
      <w:r>
        <w:t xml:space="preserve"> scores separately may not provide the full picture of one’s symptom profile. </w:t>
      </w:r>
      <w:r w:rsidR="000C1630">
        <w:t xml:space="preserve">From a technical perspective, the findings show that the residual variances accounted for by the conventional DASS scales (after accounting for the general factor) are unreliable in TBI, precluding scale-specific inferences from being made (i.e., drawing separate conclusions regarding depression, </w:t>
      </w:r>
      <w:r w:rsidR="000C1630">
        <w:lastRenderedPageBreak/>
        <w:t>anxiety, and stress). Instead, the DASS may be more suitably applied to answer questions about characteristics shared across these syndromes, rather than characteristics unique to each. More broadly, our study</w:t>
      </w:r>
      <w:r>
        <w:t xml:space="preserve"> also contribute</w:t>
      </w:r>
      <w:r w:rsidR="000C1630">
        <w:t>s</w:t>
      </w:r>
      <w:r>
        <w:t xml:space="preserve"> to the discussion about the conceptualization and measurement of psychopathology in the TBI population, highlighting the existence of a strong general factor of emotional distress, aligning with clinical efforts in the broader population to </w:t>
      </w:r>
      <w:r w:rsidR="000C1630">
        <w:t>implement</w:t>
      </w:r>
      <w:r>
        <w:t xml:space="preserve"> transdiagnostic approaches in assessment and treatment (e.g., Insel et al., 201</w:t>
      </w:r>
      <w:r w:rsidR="000C1630">
        <w:t>0;</w:t>
      </w:r>
      <w:r>
        <w:t xml:space="preserve"> Kotov et al., 2017)</w:t>
      </w:r>
      <w:r w:rsidR="000C1630">
        <w:t>. Based on our findings, we advocate for developing and validating more broadband, symptom-oriented procedures to provide more fine-grained assessment of psychopathology after TBI, where that is desired.</w:t>
      </w:r>
    </w:p>
    <w:p w14:paraId="3AB00415" w14:textId="08FF037A" w:rsidR="005A02ED" w:rsidRPr="00B424A1" w:rsidRDefault="009761E9" w:rsidP="005A02ED">
      <w:pPr>
        <w:pStyle w:val="Heading2"/>
      </w:pPr>
      <w:r w:rsidRPr="00B424A1">
        <w:t>Limitations</w:t>
      </w:r>
    </w:p>
    <w:p w14:paraId="41FD1E6B" w14:textId="4BAD8A4A" w:rsidR="004B141D" w:rsidRPr="00BD32BB" w:rsidRDefault="00467371" w:rsidP="00BD32BB">
      <w:pPr>
        <w:rPr>
          <w:rFonts w:ascii="Times New Roman" w:hAnsi="Times New Roman" w:cs="Times New Roman"/>
        </w:rPr>
      </w:pPr>
      <w:r w:rsidRPr="00B424A1">
        <w:t>Our</w:t>
      </w:r>
      <w:r w:rsidR="005A02ED" w:rsidRPr="00B424A1">
        <w:t xml:space="preserve"> study </w:t>
      </w:r>
      <w:r w:rsidR="00BD32BB">
        <w:t xml:space="preserve">has several limitations, notably </w:t>
      </w:r>
      <w:r w:rsidR="004B141D">
        <w:t xml:space="preserve">the relatively small sample </w:t>
      </w:r>
      <w:r w:rsidR="00BD32BB">
        <w:t xml:space="preserve">size—a challenge when recruiting from a clinical population such as moderate-severe TBI. </w:t>
      </w:r>
      <w:r w:rsidR="004B141D">
        <w:t xml:space="preserve">To </w:t>
      </w:r>
      <w:r w:rsidR="00BD32BB">
        <w:t>address this statistical power concern</w:t>
      </w:r>
      <w:r w:rsidR="004B141D">
        <w:t xml:space="preserve">, we </w:t>
      </w:r>
      <w:r w:rsidR="00BD32BB">
        <w:t xml:space="preserve">conducted </w:t>
      </w:r>
      <w:r w:rsidR="004B141D">
        <w:t xml:space="preserve">RMSEA-based power analyses, </w:t>
      </w:r>
      <w:r w:rsidR="00BD32BB">
        <w:t xml:space="preserve">which indicated </w:t>
      </w:r>
      <w:r w:rsidR="004B141D">
        <w:t xml:space="preserve">that we had satisfactory power </w:t>
      </w:r>
      <w:r w:rsidR="00BD32BB">
        <w:t>for detecting</w:t>
      </w:r>
      <w:r w:rsidR="004B141D">
        <w:t xml:space="preserve"> difference</w:t>
      </w:r>
      <w:r w:rsidR="00BD32BB">
        <w:t>s</w:t>
      </w:r>
      <w:r w:rsidR="004B141D">
        <w:t xml:space="preserve"> between a close</w:t>
      </w:r>
      <w:r w:rsidR="00BD32BB">
        <w:t xml:space="preserve"> (RMSEA = .05)</w:t>
      </w:r>
      <w:r w:rsidR="004B141D">
        <w:t xml:space="preserve"> and very close fitting factor model</w:t>
      </w:r>
      <w:r w:rsidR="00BD32BB">
        <w:t xml:space="preserve"> (RMSEA = .01)</w:t>
      </w:r>
      <w:r w:rsidR="004B141D">
        <w:t>.</w:t>
      </w:r>
      <w:r w:rsidR="00BD32BB">
        <w:t xml:space="preserve"> </w:t>
      </w:r>
      <w:r w:rsidR="00582DD1">
        <w:t>As our main analyses focused on</w:t>
      </w:r>
      <w:r w:rsidR="00BD32BB">
        <w:t xml:space="preserve"> bifactor statistical indices, we also </w:t>
      </w:r>
      <w:r w:rsidR="00BD32BB">
        <w:rPr>
          <w:rFonts w:ascii="Times New Roman" w:eastAsia="Times New Roman" w:hAnsi="Times New Roman" w:cs="Times New Roman"/>
          <w:shd w:val="clear" w:color="auto" w:fill="FFFFFF"/>
          <w:lang w:eastAsia="en-GB"/>
        </w:rPr>
        <w:t xml:space="preserve">computed bootstrapped 95% CIs for the factor loadings. </w:t>
      </w:r>
      <w:r w:rsidR="00582DD1">
        <w:rPr>
          <w:rFonts w:ascii="Times New Roman" w:hAnsi="Times New Roman" w:cs="Times New Roman"/>
        </w:rPr>
        <w:t>Although mostly reasonable,</w:t>
      </w:r>
      <w:r w:rsidR="00BD32BB">
        <w:rPr>
          <w:rFonts w:ascii="Times New Roman" w:hAnsi="Times New Roman" w:cs="Times New Roman"/>
        </w:rPr>
        <w:t xml:space="preserve"> estimates of specific factor loadings in the bifactor model were less precise, and some CIs for the bifactor model were exceptionally wide (</w:t>
      </w:r>
      <w:r w:rsidR="00ED59FC">
        <w:rPr>
          <w:rFonts w:ascii="Times New Roman" w:hAnsi="Times New Roman" w:cs="Times New Roman"/>
        </w:rPr>
        <w:t xml:space="preserve">see </w:t>
      </w:r>
      <w:r w:rsidR="00BD32BB">
        <w:rPr>
          <w:rFonts w:ascii="Times New Roman" w:hAnsi="Times New Roman" w:cs="Times New Roman"/>
        </w:rPr>
        <w:t xml:space="preserve">Supplemental Table S1). </w:t>
      </w:r>
      <w:r w:rsidR="00582DD1">
        <w:rPr>
          <w:rFonts w:ascii="Times New Roman" w:hAnsi="Times New Roman" w:cs="Times New Roman"/>
        </w:rPr>
        <w:t xml:space="preserve">This may be partly due to </w:t>
      </w:r>
      <w:r w:rsidR="00704784">
        <w:rPr>
          <w:rFonts w:ascii="Times New Roman" w:hAnsi="Times New Roman" w:cs="Times New Roman"/>
        </w:rPr>
        <w:t xml:space="preserve">the </w:t>
      </w:r>
      <w:r w:rsidR="00582DD1">
        <w:rPr>
          <w:rFonts w:cstheme="minorHAnsi"/>
        </w:rPr>
        <w:t xml:space="preserve">residual variances </w:t>
      </w:r>
      <w:r w:rsidR="00704784">
        <w:rPr>
          <w:rFonts w:cstheme="minorHAnsi"/>
        </w:rPr>
        <w:t xml:space="preserve">captured by the specific factors </w:t>
      </w:r>
      <w:r w:rsidR="00582DD1">
        <w:rPr>
          <w:rFonts w:cstheme="minorHAnsi"/>
        </w:rPr>
        <w:t>(i.e., after accounting for the general factor) being unreliable</w:t>
      </w:r>
      <w:r w:rsidR="00BD32BB">
        <w:rPr>
          <w:rFonts w:cstheme="minorHAnsi"/>
        </w:rPr>
        <w:t xml:space="preserve">. </w:t>
      </w:r>
      <w:r w:rsidR="00CF40DF">
        <w:rPr>
          <w:rFonts w:cstheme="minorHAnsi"/>
        </w:rPr>
        <w:t>F</w:t>
      </w:r>
      <w:r w:rsidR="00BD32BB">
        <w:rPr>
          <w:rFonts w:cstheme="minorHAnsi"/>
        </w:rPr>
        <w:t xml:space="preserve">uture research should seek to independently validate our findings in larger samples of individuals with TBI, </w:t>
      </w:r>
      <w:r w:rsidR="00582DD1">
        <w:rPr>
          <w:rFonts w:cstheme="minorHAnsi"/>
        </w:rPr>
        <w:t>particularly those reporting</w:t>
      </w:r>
      <w:r w:rsidR="00BD32BB">
        <w:rPr>
          <w:rFonts w:cstheme="minorHAnsi"/>
        </w:rPr>
        <w:t xml:space="preserve"> </w:t>
      </w:r>
      <w:r w:rsidR="00582DD1">
        <w:rPr>
          <w:rFonts w:cstheme="minorHAnsi"/>
        </w:rPr>
        <w:t>more severe or frequent emotional symptoms than in our study (e.g., a treatment-seeking sample) to reduce the positive skewness in some items</w:t>
      </w:r>
      <w:r w:rsidR="00BD32BB">
        <w:rPr>
          <w:rFonts w:cstheme="minorHAnsi"/>
        </w:rPr>
        <w:t xml:space="preserve">. </w:t>
      </w:r>
      <w:r w:rsidR="009F588B">
        <w:rPr>
          <w:rFonts w:cstheme="minorHAnsi"/>
        </w:rPr>
        <w:t xml:space="preserve">This will provide more precise estimates of the extent to which DASS items are markers of general distress versus more narrowband symptom dimensions after TBI. </w:t>
      </w:r>
      <w:r w:rsidR="00CF40DF">
        <w:t xml:space="preserve">Nevertheless, </w:t>
      </w:r>
      <w:r w:rsidR="00582DD1">
        <w:t xml:space="preserve">it should be noted </w:t>
      </w:r>
      <w:r w:rsidR="00582DD1">
        <w:lastRenderedPageBreak/>
        <w:t>that our</w:t>
      </w:r>
      <w:r w:rsidR="004F0356" w:rsidRPr="00B424A1">
        <w:t xml:space="preserve"> findings </w:t>
      </w:r>
      <w:r w:rsidR="00582DD1">
        <w:t>align with</w:t>
      </w:r>
      <w:r w:rsidR="004F0356" w:rsidRPr="00B424A1">
        <w:t xml:space="preserve"> </w:t>
      </w:r>
      <w:r w:rsidR="00582DD1">
        <w:t xml:space="preserve">studies of the DASS </w:t>
      </w:r>
      <w:r w:rsidR="00BD32BB">
        <w:t>conducted in</w:t>
      </w:r>
      <w:r w:rsidR="004F0356" w:rsidRPr="00B424A1">
        <w:t xml:space="preserve"> much larger samples (e.g., </w:t>
      </w:r>
      <w:r w:rsidR="00CF40DF">
        <w:t xml:space="preserve">Naumova, </w:t>
      </w:r>
      <w:r w:rsidR="00C670E8" w:rsidRPr="00B424A1">
        <w:t>20</w:t>
      </w:r>
      <w:r w:rsidR="00CF40DF">
        <w:t>22,</w:t>
      </w:r>
      <w:r w:rsidR="00261580" w:rsidRPr="00B424A1">
        <w:t xml:space="preserve"> </w:t>
      </w:r>
      <w:r w:rsidR="00261580" w:rsidRPr="00B424A1">
        <w:rPr>
          <w:i/>
          <w:iCs/>
        </w:rPr>
        <w:t>n</w:t>
      </w:r>
      <w:r w:rsidR="00261580" w:rsidRPr="00B424A1">
        <w:t xml:space="preserve"> = </w:t>
      </w:r>
      <w:r w:rsidR="00CF40DF">
        <w:t>4</w:t>
      </w:r>
      <w:r w:rsidR="00261580" w:rsidRPr="00B424A1">
        <w:t>,</w:t>
      </w:r>
      <w:r w:rsidR="00CF40DF">
        <w:t>202</w:t>
      </w:r>
      <w:r w:rsidR="00582DD1">
        <w:t xml:space="preserve">), including a </w:t>
      </w:r>
      <w:r w:rsidR="004B141D">
        <w:t>meta-analysis involving over 20,000 participants (Yeung et al., 2020)</w:t>
      </w:r>
      <w:r w:rsidR="00BD32BB">
        <w:t xml:space="preserve">, </w:t>
      </w:r>
      <w:r w:rsidR="009F588B">
        <w:t>instilling confidence in our findings.</w:t>
      </w:r>
    </w:p>
    <w:p w14:paraId="16A3C9D9" w14:textId="3D7EFA6D" w:rsidR="00CF40DF" w:rsidRDefault="00ED59FC" w:rsidP="00ED59FC">
      <w:r>
        <w:t xml:space="preserve">Our </w:t>
      </w:r>
      <w:r w:rsidRPr="00B424A1">
        <w:t xml:space="preserve">sample consisted of predominately White </w:t>
      </w:r>
      <w:r w:rsidRPr="00996F86">
        <w:rPr>
          <w:rFonts w:ascii="Times New Roman" w:hAnsi="Times New Roman"/>
          <w:kern w:val="0"/>
          <w:lang w:val="en-GB"/>
        </w:rPr>
        <w:t>patients with TBI recruited</w:t>
      </w:r>
      <w:r w:rsidRPr="00B424A1">
        <w:t xml:space="preserve"> </w:t>
      </w:r>
      <w:r w:rsidRPr="00996F86">
        <w:rPr>
          <w:rFonts w:ascii="Times New Roman" w:hAnsi="Times New Roman"/>
          <w:kern w:val="0"/>
          <w:lang w:val="en-GB"/>
        </w:rPr>
        <w:t xml:space="preserve">from one </w:t>
      </w:r>
      <w:proofErr w:type="spellStart"/>
      <w:r w:rsidRPr="00996F86">
        <w:rPr>
          <w:rFonts w:ascii="Times New Roman" w:hAnsi="Times New Roman"/>
          <w:kern w:val="0"/>
          <w:lang w:val="en-GB"/>
        </w:rPr>
        <w:t>cent</w:t>
      </w:r>
      <w:r w:rsidR="00A0575F">
        <w:rPr>
          <w:rFonts w:ascii="Times New Roman" w:hAnsi="Times New Roman"/>
          <w:kern w:val="0"/>
          <w:lang w:val="en-GB"/>
        </w:rPr>
        <w:t>er</w:t>
      </w:r>
      <w:r w:rsidRPr="00996F86">
        <w:rPr>
          <w:rFonts w:ascii="Times New Roman" w:hAnsi="Times New Roman"/>
          <w:kern w:val="0"/>
          <w:lang w:val="en-GB"/>
        </w:rPr>
        <w:t>’s</w:t>
      </w:r>
      <w:proofErr w:type="spellEnd"/>
      <w:r w:rsidRPr="00996F86">
        <w:rPr>
          <w:rFonts w:ascii="Times New Roman" w:hAnsi="Times New Roman"/>
          <w:kern w:val="0"/>
          <w:lang w:val="en-GB"/>
        </w:rPr>
        <w:t xml:space="preserve"> system of care. Therefore, our results </w:t>
      </w:r>
      <w:r>
        <w:rPr>
          <w:rFonts w:ascii="Times New Roman" w:hAnsi="Times New Roman"/>
          <w:kern w:val="0"/>
          <w:lang w:val="en-GB"/>
        </w:rPr>
        <w:t>may lack generalizability to</w:t>
      </w:r>
      <w:r w:rsidRPr="00996F86">
        <w:rPr>
          <w:rFonts w:ascii="Times New Roman" w:hAnsi="Times New Roman"/>
          <w:kern w:val="0"/>
          <w:lang w:val="en-GB"/>
        </w:rPr>
        <w:t xml:space="preserve"> individuals with diverse racial </w:t>
      </w:r>
      <w:r>
        <w:rPr>
          <w:rFonts w:ascii="Times New Roman" w:hAnsi="Times New Roman"/>
          <w:kern w:val="0"/>
          <w:lang w:val="en-GB"/>
        </w:rPr>
        <w:t>or</w:t>
      </w:r>
      <w:r w:rsidRPr="00996F86">
        <w:rPr>
          <w:rFonts w:ascii="Times New Roman" w:hAnsi="Times New Roman"/>
          <w:kern w:val="0"/>
          <w:lang w:val="en-GB"/>
        </w:rPr>
        <w:t xml:space="preserve"> ethnic identities or different rehabilitation experiences. </w:t>
      </w:r>
      <w:r>
        <w:rPr>
          <w:rFonts w:ascii="Times New Roman" w:hAnsi="Times New Roman"/>
          <w:kern w:val="0"/>
          <w:lang w:val="en-GB"/>
        </w:rPr>
        <w:t>Furthermore, m</w:t>
      </w:r>
      <w:r w:rsidR="00C02632" w:rsidRPr="00B424A1">
        <w:t xml:space="preserve">ost </w:t>
      </w:r>
      <w:r w:rsidR="00CC3C97" w:rsidRPr="00B424A1">
        <w:t>p</w:t>
      </w:r>
      <w:r w:rsidR="00F34758" w:rsidRPr="00B424A1">
        <w:t>articipants</w:t>
      </w:r>
      <w:r w:rsidR="00CF40DF">
        <w:t xml:space="preserve"> </w:t>
      </w:r>
      <w:r>
        <w:t>sustained their injury within the past two</w:t>
      </w:r>
      <w:r w:rsidR="00C02632" w:rsidRPr="00B424A1">
        <w:t xml:space="preserve"> years</w:t>
      </w:r>
      <w:r w:rsidR="005A02ED" w:rsidRPr="00B424A1">
        <w:t xml:space="preserve">. </w:t>
      </w:r>
      <w:r w:rsidR="00CC3C97" w:rsidRPr="00B424A1">
        <w:t>The</w:t>
      </w:r>
      <w:r w:rsidR="00D91894" w:rsidRPr="00B424A1">
        <w:t xml:space="preserve"> frequency of</w:t>
      </w:r>
      <w:r w:rsidR="00787A81" w:rsidRPr="00B424A1">
        <w:t xml:space="preserve"> anxiety </w:t>
      </w:r>
      <w:r w:rsidR="00D91894" w:rsidRPr="00B424A1">
        <w:t xml:space="preserve">disorders </w:t>
      </w:r>
      <w:r w:rsidR="00CC3C97" w:rsidRPr="00B424A1">
        <w:t>has been found to decrease</w:t>
      </w:r>
      <w:r w:rsidR="00787A81" w:rsidRPr="00B424A1">
        <w:t xml:space="preserve"> </w:t>
      </w:r>
      <w:r>
        <w:t>across the first five years</w:t>
      </w:r>
      <w:r w:rsidR="00787A81" w:rsidRPr="00B424A1">
        <w:t xml:space="preserve"> after TBI</w:t>
      </w:r>
      <w:r w:rsidR="00D91894" w:rsidRPr="00B424A1">
        <w:t xml:space="preserve">, whereas depressive disorders </w:t>
      </w:r>
      <w:r w:rsidR="00D67895" w:rsidRPr="00B424A1">
        <w:t xml:space="preserve">are more </w:t>
      </w:r>
      <w:r w:rsidR="00740D62" w:rsidRPr="00B424A1">
        <w:t>persist</w:t>
      </w:r>
      <w:r w:rsidR="00D67895" w:rsidRPr="00B424A1">
        <w:t>ent</w:t>
      </w:r>
      <w:r w:rsidR="00704784">
        <w:t xml:space="preserve"> (Alway et al., 2016)</w:t>
      </w:r>
      <w:r w:rsidR="00C84959" w:rsidRPr="00B424A1">
        <w:t>.</w:t>
      </w:r>
      <w:r w:rsidR="00787A81" w:rsidRPr="00B424A1">
        <w:t xml:space="preserve"> </w:t>
      </w:r>
      <w:r w:rsidR="004E2E4E" w:rsidRPr="00B424A1">
        <w:t xml:space="preserve">This </w:t>
      </w:r>
      <w:r w:rsidR="00D67895" w:rsidRPr="00B424A1">
        <w:t>raises the possibility</w:t>
      </w:r>
      <w:r w:rsidR="003879B9">
        <w:t xml:space="preserve"> that</w:t>
      </w:r>
      <w:r w:rsidR="00D67895" w:rsidRPr="00B424A1">
        <w:t xml:space="preserve"> the </w:t>
      </w:r>
      <w:r w:rsidR="00926CF7">
        <w:t>DASS’ ability to discriminate between depression and anxiety</w:t>
      </w:r>
      <w:r w:rsidR="003879B9">
        <w:t xml:space="preserve"> </w:t>
      </w:r>
      <w:r w:rsidR="001B22F1" w:rsidRPr="00B424A1">
        <w:t>may vary in a more chronic TBI sample.</w:t>
      </w:r>
      <w:r w:rsidR="004E2E4E" w:rsidRPr="00B424A1">
        <w:t xml:space="preserve"> </w:t>
      </w:r>
      <w:r>
        <w:t>Unfortunately, we could not</w:t>
      </w:r>
      <w:r w:rsidR="00C02632" w:rsidRPr="00B424A1">
        <w:t xml:space="preserve"> explore this possibility due to the limited number of participants who were in the later stages of recover</w:t>
      </w:r>
      <w:r w:rsidR="004B141D">
        <w:t>y</w:t>
      </w:r>
      <w:r w:rsidR="00C02632" w:rsidRPr="00B424A1">
        <w:t xml:space="preserve">. </w:t>
      </w:r>
    </w:p>
    <w:p w14:paraId="08D2C5FB" w14:textId="3252B1DE" w:rsidR="00F163A7" w:rsidRPr="00704784" w:rsidRDefault="00704784" w:rsidP="00704784">
      <w:pPr>
        <w:rPr>
          <w:rFonts w:ascii="Times New Roman" w:hAnsi="Times New Roman"/>
          <w:kern w:val="0"/>
          <w:lang w:val="en-GB"/>
        </w:rPr>
      </w:pPr>
      <w:r>
        <w:t>Lastly, the specific composition of symptoms experienced by our TBI sample may have influenced the study findings. Some symptoms were not commonly endorsed, with a lower prominence of physiological hyperarousal symptoms as measured by the DASS anxiety scale (see Table 2). As before, it would be beneficial to repl</w:t>
      </w:r>
      <w:r w:rsidR="00FA7B3C">
        <w:t>icate</w:t>
      </w:r>
      <w:r>
        <w:t xml:space="preserve"> our findings in other samples, such as a sample of treatment-seeking individuals with TBI. Additionally, </w:t>
      </w:r>
      <w:r w:rsidR="00F163A7" w:rsidRPr="00996F86">
        <w:rPr>
          <w:rFonts w:ascii="Times New Roman" w:hAnsi="Times New Roman"/>
          <w:kern w:val="0"/>
          <w:lang w:val="en-GB"/>
        </w:rPr>
        <w:t>so</w:t>
      </w:r>
      <w:r w:rsidR="00F163A7" w:rsidRPr="00B424A1">
        <w:t>me</w:t>
      </w:r>
      <w:r w:rsidR="00F163A7" w:rsidRPr="00996F86">
        <w:rPr>
          <w:rFonts w:ascii="Times New Roman" w:hAnsi="Times New Roman"/>
          <w:kern w:val="0"/>
          <w:lang w:val="en-GB"/>
        </w:rPr>
        <w:t xml:space="preserve"> </w:t>
      </w:r>
      <w:r>
        <w:rPr>
          <w:rFonts w:ascii="Times New Roman" w:hAnsi="Times New Roman"/>
          <w:kern w:val="0"/>
          <w:lang w:val="en-GB"/>
        </w:rPr>
        <w:t>DASS items</w:t>
      </w:r>
      <w:r w:rsidR="00F163A7" w:rsidRPr="00996F86">
        <w:rPr>
          <w:rFonts w:ascii="Times New Roman" w:hAnsi="Times New Roman"/>
          <w:kern w:val="0"/>
          <w:lang w:val="en-GB"/>
        </w:rPr>
        <w:t xml:space="preserve"> overlap with direct physiological and cognitive consequences of TBI itself (e.g., shakiness, difficulty initiating). Notwithstanding, our findings are consistent with previous bifactor analyses of the DASS conducted in non-medical populations. Thus, we consider our </w:t>
      </w:r>
      <w:r w:rsidR="004B141D">
        <w:rPr>
          <w:rFonts w:ascii="Times New Roman" w:hAnsi="Times New Roman"/>
          <w:kern w:val="0"/>
          <w:lang w:val="en-GB"/>
        </w:rPr>
        <w:t>conclusions</w:t>
      </w:r>
      <w:r w:rsidR="00F163A7" w:rsidRPr="00996F86">
        <w:rPr>
          <w:rFonts w:ascii="Times New Roman" w:hAnsi="Times New Roman"/>
          <w:kern w:val="0"/>
          <w:lang w:val="en-GB"/>
        </w:rPr>
        <w:t xml:space="preserve"> were not </w:t>
      </w:r>
      <w:r>
        <w:rPr>
          <w:rFonts w:ascii="Times New Roman" w:hAnsi="Times New Roman"/>
          <w:kern w:val="0"/>
          <w:lang w:val="en-GB"/>
        </w:rPr>
        <w:t xml:space="preserve">highly </w:t>
      </w:r>
      <w:r w:rsidR="004B141D">
        <w:rPr>
          <w:rFonts w:ascii="Times New Roman" w:hAnsi="Times New Roman"/>
          <w:kern w:val="0"/>
          <w:lang w:val="en-GB"/>
        </w:rPr>
        <w:t xml:space="preserve">influenced </w:t>
      </w:r>
      <w:r w:rsidR="00F163A7" w:rsidRPr="00996F86">
        <w:rPr>
          <w:rFonts w:ascii="Times New Roman" w:hAnsi="Times New Roman"/>
          <w:kern w:val="0"/>
          <w:lang w:val="en-GB"/>
        </w:rPr>
        <w:t>by these overlapping symptoms.</w:t>
      </w:r>
      <w:r w:rsidR="001205AF" w:rsidRPr="00B424A1">
        <w:rPr>
          <w:rFonts w:ascii="Times New Roman" w:hAnsi="Times New Roman" w:cs="Times New Roman"/>
          <w:kern w:val="0"/>
          <w:lang w:val="en-GB"/>
        </w:rPr>
        <w:t xml:space="preserve"> </w:t>
      </w:r>
      <w:r w:rsidR="00FB0EA6" w:rsidRPr="00B424A1">
        <w:rPr>
          <w:rFonts w:ascii="Times New Roman" w:hAnsi="Times New Roman" w:cs="Times New Roman"/>
          <w:kern w:val="0"/>
          <w:lang w:val="en-GB"/>
        </w:rPr>
        <w:t xml:space="preserve">Future research </w:t>
      </w:r>
      <w:r w:rsidR="00F4416A" w:rsidRPr="00B424A1">
        <w:rPr>
          <w:rFonts w:ascii="Times New Roman" w:hAnsi="Times New Roman" w:cs="Times New Roman"/>
          <w:kern w:val="0"/>
          <w:lang w:val="en-GB"/>
        </w:rPr>
        <w:t xml:space="preserve">should </w:t>
      </w:r>
      <w:r w:rsidR="004B141D">
        <w:rPr>
          <w:rFonts w:ascii="Times New Roman" w:hAnsi="Times New Roman" w:cs="Times New Roman"/>
          <w:kern w:val="0"/>
          <w:lang w:val="en-GB"/>
        </w:rPr>
        <w:t>further assess whether there is</w:t>
      </w:r>
      <w:r w:rsidR="00F4416A" w:rsidRPr="00B424A1">
        <w:rPr>
          <w:rFonts w:ascii="Times New Roman" w:hAnsi="Times New Roman" w:cs="Times New Roman"/>
          <w:kern w:val="0"/>
          <w:lang w:val="en-GB"/>
        </w:rPr>
        <w:t xml:space="preserve"> measurement invariance of the DASS between TBI and non-TBI populations</w:t>
      </w:r>
      <w:r w:rsidR="004B141D">
        <w:rPr>
          <w:rFonts w:ascii="Times New Roman" w:hAnsi="Times New Roman" w:cs="Times New Roman"/>
          <w:kern w:val="0"/>
          <w:lang w:val="en-GB"/>
        </w:rPr>
        <w:t xml:space="preserve">, identifying any items less indicative of emotional distress </w:t>
      </w:r>
      <w:r w:rsidR="00BD7921">
        <w:rPr>
          <w:rFonts w:ascii="Times New Roman" w:hAnsi="Times New Roman" w:cs="Times New Roman"/>
          <w:kern w:val="0"/>
          <w:lang w:val="en-GB"/>
        </w:rPr>
        <w:t xml:space="preserve">after </w:t>
      </w:r>
      <w:r w:rsidR="004B141D">
        <w:rPr>
          <w:rFonts w:ascii="Times New Roman" w:hAnsi="Times New Roman" w:cs="Times New Roman"/>
          <w:kern w:val="0"/>
          <w:lang w:val="en-GB"/>
        </w:rPr>
        <w:t>TBI.</w:t>
      </w:r>
    </w:p>
    <w:p w14:paraId="224D5BA8" w14:textId="42A8D03B" w:rsidR="005A02ED" w:rsidRPr="00B424A1" w:rsidRDefault="005A02ED" w:rsidP="005A02ED">
      <w:pPr>
        <w:pStyle w:val="Heading2"/>
      </w:pPr>
      <w:bookmarkStart w:id="110" w:name="_Toc85182157"/>
      <w:bookmarkStart w:id="111" w:name="_Toc85399201"/>
      <w:bookmarkStart w:id="112" w:name="_Toc85455482"/>
      <w:bookmarkStart w:id="113" w:name="_Toc85455672"/>
      <w:bookmarkStart w:id="114" w:name="_Toc85456076"/>
      <w:bookmarkStart w:id="115" w:name="_Toc85456365"/>
      <w:bookmarkStart w:id="116" w:name="_Toc85456501"/>
      <w:bookmarkStart w:id="117" w:name="_Toc86046811"/>
      <w:bookmarkStart w:id="118" w:name="_Toc86047052"/>
      <w:bookmarkStart w:id="119" w:name="_Toc86047179"/>
      <w:bookmarkStart w:id="120" w:name="_Toc86047235"/>
      <w:r w:rsidRPr="00B424A1">
        <w:lastRenderedPageBreak/>
        <w:t>Conclusion</w:t>
      </w:r>
      <w:bookmarkEnd w:id="110"/>
      <w:bookmarkEnd w:id="111"/>
      <w:bookmarkEnd w:id="112"/>
      <w:bookmarkEnd w:id="113"/>
      <w:bookmarkEnd w:id="114"/>
      <w:bookmarkEnd w:id="115"/>
      <w:bookmarkEnd w:id="116"/>
      <w:bookmarkEnd w:id="117"/>
      <w:bookmarkEnd w:id="118"/>
      <w:bookmarkEnd w:id="119"/>
      <w:bookmarkEnd w:id="120"/>
    </w:p>
    <w:p w14:paraId="69EA4AED" w14:textId="24825EE8" w:rsidR="00294565" w:rsidRDefault="00880717" w:rsidP="004A02DB">
      <w:pPr>
        <w:rPr>
          <w:rFonts w:ascii="Times New Roman" w:hAnsi="Times New Roman" w:cs="Times New Roman"/>
          <w:lang w:val="en-AU" w:eastAsia="zh-CN"/>
        </w:rPr>
      </w:pPr>
      <w:r>
        <w:rPr>
          <w:lang w:val="en-AU"/>
        </w:rPr>
        <w:t xml:space="preserve">We used factor analytic </w:t>
      </w:r>
      <w:r>
        <w:rPr>
          <w:rFonts w:ascii="Times New Roman" w:hAnsi="Times New Roman" w:cs="Times New Roman"/>
          <w:szCs w:val="22"/>
          <w:lang w:val="en-AU" w:eastAsia="zh-CN"/>
        </w:rPr>
        <w:t>procedures, with a</w:t>
      </w:r>
      <w:r w:rsidR="004A02DB">
        <w:rPr>
          <w:rFonts w:ascii="Times New Roman" w:hAnsi="Times New Roman" w:cs="Times New Roman"/>
          <w:szCs w:val="22"/>
          <w:lang w:val="en-AU" w:eastAsia="zh-CN"/>
        </w:rPr>
        <w:t>n</w:t>
      </w:r>
      <w:r>
        <w:rPr>
          <w:rFonts w:ascii="Times New Roman" w:hAnsi="Times New Roman" w:cs="Times New Roman"/>
          <w:szCs w:val="22"/>
          <w:lang w:val="en-AU" w:eastAsia="zh-CN"/>
        </w:rPr>
        <w:t xml:space="preserve"> emphasis on </w:t>
      </w:r>
      <w:r w:rsidR="004A02DB">
        <w:rPr>
          <w:rFonts w:ascii="Times New Roman" w:hAnsi="Times New Roman" w:cs="Times New Roman"/>
          <w:szCs w:val="22"/>
          <w:lang w:val="en-AU" w:eastAsia="zh-CN"/>
        </w:rPr>
        <w:t xml:space="preserve">novel </w:t>
      </w:r>
      <w:r>
        <w:rPr>
          <w:rFonts w:ascii="Times New Roman" w:hAnsi="Times New Roman" w:cs="Times New Roman"/>
          <w:szCs w:val="22"/>
          <w:lang w:val="en-AU" w:eastAsia="zh-CN"/>
        </w:rPr>
        <w:t xml:space="preserve">bifactor statistical indices, to assess </w:t>
      </w:r>
      <w:r w:rsidR="004A02DB">
        <w:rPr>
          <w:rFonts w:ascii="Times New Roman" w:hAnsi="Times New Roman" w:cs="Times New Roman"/>
          <w:szCs w:val="22"/>
          <w:lang w:val="en-AU" w:eastAsia="zh-CN"/>
        </w:rPr>
        <w:t>the ability of the</w:t>
      </w:r>
      <w:r>
        <w:rPr>
          <w:rFonts w:ascii="Times New Roman" w:hAnsi="Times New Roman" w:cs="Times New Roman"/>
          <w:szCs w:val="22"/>
          <w:lang w:val="en-AU" w:eastAsia="zh-CN"/>
        </w:rPr>
        <w:t xml:space="preserve"> </w:t>
      </w:r>
      <w:r w:rsidR="004A02DB">
        <w:rPr>
          <w:rFonts w:ascii="Times New Roman" w:hAnsi="Times New Roman" w:cs="Times New Roman"/>
          <w:szCs w:val="22"/>
          <w:lang w:val="en-AU" w:eastAsia="zh-CN"/>
        </w:rPr>
        <w:t>DASS</w:t>
      </w:r>
      <w:r>
        <w:rPr>
          <w:rFonts w:ascii="Times New Roman" w:hAnsi="Times New Roman" w:cs="Times New Roman"/>
          <w:szCs w:val="22"/>
          <w:lang w:val="en-AU" w:eastAsia="zh-CN"/>
        </w:rPr>
        <w:t xml:space="preserve"> </w:t>
      </w:r>
      <w:r w:rsidR="004A02DB">
        <w:rPr>
          <w:rFonts w:ascii="Times New Roman" w:hAnsi="Times New Roman" w:cs="Times New Roman"/>
          <w:szCs w:val="22"/>
          <w:lang w:val="en-AU" w:eastAsia="zh-CN"/>
        </w:rPr>
        <w:t>to</w:t>
      </w:r>
      <w:r>
        <w:rPr>
          <w:rFonts w:ascii="Times New Roman" w:hAnsi="Times New Roman" w:cs="Times New Roman"/>
          <w:szCs w:val="22"/>
          <w:lang w:val="en-AU" w:eastAsia="zh-CN"/>
        </w:rPr>
        <w:t xml:space="preserve"> differentiate depression, anxiety, and stress </w:t>
      </w:r>
      <w:r w:rsidRPr="00B424A1">
        <w:rPr>
          <w:rFonts w:ascii="Times New Roman" w:hAnsi="Times New Roman" w:cs="Times New Roman"/>
          <w:szCs w:val="22"/>
          <w:lang w:val="en-AU" w:eastAsia="zh-CN"/>
        </w:rPr>
        <w:t>in individuals with TBI</w:t>
      </w:r>
      <w:r>
        <w:rPr>
          <w:lang w:val="en-AU"/>
        </w:rPr>
        <w:t xml:space="preserve">. </w:t>
      </w:r>
      <w:r w:rsidR="00641550">
        <w:rPr>
          <w:lang w:val="en-AU"/>
        </w:rPr>
        <w:t>Across a range of indices, o</w:t>
      </w:r>
      <w:r>
        <w:rPr>
          <w:lang w:val="en-AU"/>
        </w:rPr>
        <w:t xml:space="preserve">ur results </w:t>
      </w:r>
      <w:r w:rsidR="004A02DB">
        <w:rPr>
          <w:lang w:val="en-AU"/>
        </w:rPr>
        <w:t>consistently indicated</w:t>
      </w:r>
      <w:r>
        <w:rPr>
          <w:lang w:val="en-AU"/>
        </w:rPr>
        <w:t xml:space="preserve"> that scores on the DASS21 and DASS42 after TBI predominantly reflect a single, underlying latent variable of general distress. The specific factors, particularly anxiety and stress, added little meaningful information beyond that provided by the total score. </w:t>
      </w:r>
      <w:r>
        <w:t xml:space="preserve">Of the conventional DASS scales, the depression scale </w:t>
      </w:r>
      <w:r w:rsidR="004A02DB">
        <w:t xml:space="preserve">performed best in TBI </w:t>
      </w:r>
      <w:r w:rsidRPr="00B369FF">
        <w:t xml:space="preserve">after </w:t>
      </w:r>
      <w:r>
        <w:t>accounting</w:t>
      </w:r>
      <w:r w:rsidRPr="00B369FF">
        <w:t xml:space="preserve"> for the general factor’s influence</w:t>
      </w:r>
      <w:r>
        <w:t xml:space="preserve">, </w:t>
      </w:r>
      <w:r w:rsidR="004A02DB">
        <w:t xml:space="preserve">but ultimately, this scale did not reliably differentiate depression from general distress. </w:t>
      </w:r>
      <w:r w:rsidR="002627F4">
        <w:t>In conclusion, o</w:t>
      </w:r>
      <w:r w:rsidR="00B146B2">
        <w:t>ur results support using the</w:t>
      </w:r>
      <w:r w:rsidR="004A02DB">
        <w:rPr>
          <w:rFonts w:ascii="Times New Roman" w:hAnsi="Times New Roman" w:cs="Times New Roman"/>
          <w:lang w:val="en-AU" w:eastAsia="zh-CN"/>
        </w:rPr>
        <w:t xml:space="preserve"> DASS total score</w:t>
      </w:r>
      <w:r w:rsidR="00B146B2">
        <w:rPr>
          <w:rFonts w:ascii="Times New Roman" w:hAnsi="Times New Roman" w:cs="Times New Roman"/>
          <w:lang w:val="en-AU" w:eastAsia="zh-CN"/>
        </w:rPr>
        <w:t xml:space="preserve"> </w:t>
      </w:r>
      <w:r w:rsidR="004A02DB">
        <w:rPr>
          <w:rFonts w:ascii="Times New Roman" w:hAnsi="Times New Roman" w:cs="Times New Roman"/>
          <w:lang w:val="en-AU" w:eastAsia="zh-CN"/>
        </w:rPr>
        <w:t>as a transdiagnostic measure of general emotional distress</w:t>
      </w:r>
      <w:r w:rsidR="00B146B2">
        <w:rPr>
          <w:rFonts w:ascii="Times New Roman" w:hAnsi="Times New Roman" w:cs="Times New Roman"/>
          <w:lang w:val="en-AU" w:eastAsia="zh-CN"/>
        </w:rPr>
        <w:t xml:space="preserve"> for individuals with TBI, as opposed to using the</w:t>
      </w:r>
      <w:r w:rsidR="004A02DB">
        <w:rPr>
          <w:rFonts w:ascii="Times New Roman" w:hAnsi="Times New Roman" w:cs="Times New Roman"/>
          <w:lang w:val="en-AU" w:eastAsia="zh-CN"/>
        </w:rPr>
        <w:t xml:space="preserve"> conventional three-factor scoring.</w:t>
      </w:r>
      <w:bookmarkEnd w:id="87"/>
      <w:r w:rsidR="00294565">
        <w:rPr>
          <w:rFonts w:ascii="Times New Roman" w:hAnsi="Times New Roman" w:cs="Times New Roman"/>
          <w:lang w:val="en-AU" w:eastAsia="zh-CN"/>
        </w:rPr>
        <w:br w:type="page"/>
      </w:r>
    </w:p>
    <w:sdt>
      <w:sdtPr>
        <w:id w:val="-573587230"/>
        <w:bibliography/>
      </w:sdtPr>
      <w:sdtEndPr>
        <w:rPr>
          <w:rFonts w:asciiTheme="majorHAnsi" w:hAnsiTheme="majorHAnsi" w:cstheme="majorHAnsi"/>
        </w:rPr>
      </w:sdtEndPr>
      <w:sdtContent>
        <w:p w14:paraId="7B8E6D0D" w14:textId="77777777" w:rsidR="00294565" w:rsidRDefault="00294565" w:rsidP="00294565">
          <w:pPr>
            <w:ind w:firstLine="0"/>
            <w:jc w:val="center"/>
            <w:rPr>
              <w:rFonts w:asciiTheme="majorHAnsi" w:hAnsiTheme="majorHAnsi" w:cstheme="majorHAnsi"/>
              <w:noProof/>
            </w:rPr>
          </w:pPr>
          <w:r w:rsidRPr="008E56FA">
            <w:rPr>
              <w:rFonts w:asciiTheme="majorHAnsi" w:hAnsiTheme="majorHAnsi" w:cstheme="majorHAnsi"/>
              <w:noProof/>
            </w:rPr>
            <w:t>References</w:t>
          </w:r>
        </w:p>
        <w:p w14:paraId="21FA8AA7" w14:textId="77777777" w:rsidR="00294565" w:rsidRPr="00943049" w:rsidRDefault="00294565" w:rsidP="00943049">
          <w:pPr>
            <w:ind w:left="720" w:hanging="720"/>
            <w:rPr>
              <w:rFonts w:asciiTheme="majorHAnsi" w:hAnsiTheme="majorHAnsi" w:cstheme="majorHAnsi"/>
              <w:noProof/>
            </w:rPr>
          </w:pPr>
          <w:r w:rsidRPr="00943049">
            <w:rPr>
              <w:rFonts w:asciiTheme="majorHAnsi" w:hAnsiTheme="majorHAnsi" w:cstheme="majorHAnsi"/>
              <w:noProof/>
            </w:rPr>
            <w:t xml:space="preserve">Alway, Y., Gould, K. R., Johnston, L., McKenzie, D., &amp; Ponsford, J. (2016). A prospective examination of Axis I psychiatric disorders in the first 5 years following moderate to severe traumatic brain injury. </w:t>
          </w:r>
          <w:r w:rsidRPr="00943049">
            <w:rPr>
              <w:rFonts w:asciiTheme="majorHAnsi" w:hAnsiTheme="majorHAnsi" w:cstheme="majorHAnsi"/>
              <w:i/>
              <w:noProof/>
            </w:rPr>
            <w:t>Psychological Medicine</w:t>
          </w:r>
          <w:r w:rsidRPr="00943049">
            <w:rPr>
              <w:rFonts w:asciiTheme="majorHAnsi" w:hAnsiTheme="majorHAnsi" w:cstheme="majorHAnsi"/>
              <w:noProof/>
            </w:rPr>
            <w:t xml:space="preserve">, </w:t>
          </w:r>
          <w:r w:rsidRPr="00943049">
            <w:rPr>
              <w:rFonts w:asciiTheme="majorHAnsi" w:hAnsiTheme="majorHAnsi" w:cstheme="majorHAnsi"/>
              <w:i/>
              <w:noProof/>
            </w:rPr>
            <w:t>46</w:t>
          </w:r>
          <w:r w:rsidRPr="00943049">
            <w:rPr>
              <w:rFonts w:asciiTheme="majorHAnsi" w:hAnsiTheme="majorHAnsi" w:cstheme="majorHAnsi"/>
              <w:noProof/>
            </w:rPr>
            <w:t>(6), 1331–1341. https://doi.org/10.1017/S0033291715002986</w:t>
          </w:r>
        </w:p>
        <w:p w14:paraId="31061A8F" w14:textId="77777777" w:rsidR="00294565" w:rsidRPr="00943049" w:rsidRDefault="00294565" w:rsidP="00943049">
          <w:pPr>
            <w:pStyle w:val="Bibliography"/>
            <w:rPr>
              <w:rFonts w:asciiTheme="majorHAnsi" w:hAnsiTheme="majorHAnsi" w:cstheme="majorHAnsi"/>
              <w:lang w:val="en-GB"/>
            </w:rPr>
          </w:pPr>
          <w:r w:rsidRPr="00943049">
            <w:rPr>
              <w:rFonts w:asciiTheme="majorHAnsi" w:hAnsiTheme="majorHAnsi" w:cstheme="majorHAnsi"/>
              <w:lang w:val="en-GB"/>
            </w:rPr>
            <w:t xml:space="preserve">Andelic, N., Howe, E. I., Hellstrøm, T., Sanchez, M. F., Lu, J., Løvstad, M., &amp; Røe, C. (2018). Disability and quality of life 20 years after traumatic brain injury. </w:t>
          </w:r>
          <w:r w:rsidRPr="00943049">
            <w:rPr>
              <w:rFonts w:asciiTheme="majorHAnsi" w:hAnsiTheme="majorHAnsi" w:cstheme="majorHAnsi"/>
              <w:i/>
              <w:iCs/>
              <w:lang w:val="en-GB"/>
            </w:rPr>
            <w:t>Brain and Behavior</w:t>
          </w:r>
          <w:r w:rsidRPr="00943049">
            <w:rPr>
              <w:rFonts w:asciiTheme="majorHAnsi" w:hAnsiTheme="majorHAnsi" w:cstheme="majorHAnsi"/>
              <w:lang w:val="en-GB"/>
            </w:rPr>
            <w:t xml:space="preserve">, </w:t>
          </w:r>
          <w:r w:rsidRPr="00943049">
            <w:rPr>
              <w:rFonts w:asciiTheme="majorHAnsi" w:hAnsiTheme="majorHAnsi" w:cstheme="majorHAnsi"/>
              <w:i/>
              <w:iCs/>
              <w:lang w:val="en-GB"/>
            </w:rPr>
            <w:t>8</w:t>
          </w:r>
          <w:r w:rsidRPr="00943049">
            <w:rPr>
              <w:rFonts w:asciiTheme="majorHAnsi" w:hAnsiTheme="majorHAnsi" w:cstheme="majorHAnsi"/>
              <w:lang w:val="en-GB"/>
            </w:rPr>
            <w:t>(7), e01018. https://doi.org/10.1002/brb3.1018</w:t>
          </w:r>
        </w:p>
        <w:p w14:paraId="0E7D161F" w14:textId="77777777" w:rsidR="00895E2F" w:rsidRPr="00943049" w:rsidRDefault="00294565" w:rsidP="00943049">
          <w:pPr>
            <w:pStyle w:val="Bibliography"/>
            <w:rPr>
              <w:rStyle w:val="Hyperlink"/>
              <w:rFonts w:asciiTheme="majorHAnsi" w:hAnsiTheme="majorHAnsi" w:cstheme="majorHAnsi"/>
              <w:color w:val="auto"/>
              <w:u w:val="none"/>
              <w:lang w:val="en-GB"/>
            </w:rPr>
          </w:pPr>
          <w:r w:rsidRPr="00943049">
            <w:rPr>
              <w:rFonts w:asciiTheme="majorHAnsi" w:hAnsiTheme="majorHAnsi" w:cstheme="majorHAnsi"/>
              <w:lang w:val="en-GB"/>
            </w:rPr>
            <w:t xml:space="preserve">Andelic, N., Røe, C., Tenovuo, O., Azouvi, P., Dawes, H., Majdan, M., Ranta, J., Howe, E. I., Wiegers, E. J. A., Tverdal, C., Borgen, I., Forslund, M. V., Kleffelgaard, I., Dahl, H. M., Jacob, L., Cogné, M., Lu, J., von Steinbuechel, N., &amp; Zeldovich, M. (2021). Unmet rehabilitation needs after traumatic brain injury across Europe: Results from the CENTER-TBI Study. </w:t>
          </w:r>
          <w:r w:rsidRPr="00943049">
            <w:rPr>
              <w:rFonts w:asciiTheme="majorHAnsi" w:hAnsiTheme="majorHAnsi" w:cstheme="majorHAnsi"/>
              <w:i/>
              <w:iCs/>
              <w:lang w:val="en-GB"/>
            </w:rPr>
            <w:t>Journal of Clinical Medicine</w:t>
          </w:r>
          <w:r w:rsidRPr="00943049">
            <w:rPr>
              <w:rFonts w:asciiTheme="majorHAnsi" w:hAnsiTheme="majorHAnsi" w:cstheme="majorHAnsi"/>
              <w:lang w:val="en-GB"/>
            </w:rPr>
            <w:t xml:space="preserve">, </w:t>
          </w:r>
          <w:r w:rsidRPr="00943049">
            <w:rPr>
              <w:rFonts w:asciiTheme="majorHAnsi" w:hAnsiTheme="majorHAnsi" w:cstheme="majorHAnsi"/>
              <w:i/>
              <w:iCs/>
              <w:lang w:val="en-GB"/>
            </w:rPr>
            <w:t>10</w:t>
          </w:r>
          <w:r w:rsidRPr="00943049">
            <w:rPr>
              <w:rFonts w:asciiTheme="majorHAnsi" w:hAnsiTheme="majorHAnsi" w:cstheme="majorHAnsi"/>
              <w:lang w:val="en-GB"/>
            </w:rPr>
            <w:t xml:space="preserve">(5). </w:t>
          </w:r>
          <w:hyperlink r:id="rId11" w:history="1">
            <w:r w:rsidRPr="00943049">
              <w:rPr>
                <w:rStyle w:val="Hyperlink"/>
                <w:rFonts w:asciiTheme="majorHAnsi" w:hAnsiTheme="majorHAnsi" w:cstheme="majorHAnsi"/>
                <w:color w:val="auto"/>
                <w:u w:val="none"/>
                <w:lang w:val="en-GB"/>
              </w:rPr>
              <w:t>https://doi.org/10.3390/jcm10051035</w:t>
            </w:r>
          </w:hyperlink>
        </w:p>
        <w:p w14:paraId="7A2953FD" w14:textId="2C33B072" w:rsidR="00895E2F" w:rsidRPr="00943049" w:rsidRDefault="00895E2F" w:rsidP="00943049">
          <w:pPr>
            <w:pStyle w:val="Bibliography"/>
            <w:rPr>
              <w:rFonts w:asciiTheme="majorHAnsi" w:hAnsiTheme="majorHAnsi" w:cstheme="majorHAnsi"/>
              <w:lang w:val="en-GB"/>
            </w:rPr>
          </w:pPr>
          <w:r w:rsidRPr="00895E2F">
            <w:rPr>
              <w:rFonts w:asciiTheme="majorHAnsi" w:eastAsia="Times New Roman" w:hAnsiTheme="majorHAnsi" w:cstheme="majorHAnsi"/>
              <w:kern w:val="0"/>
              <w:lang w:val="en-AU" w:eastAsia="en-AU"/>
            </w:rPr>
            <w:t xml:space="preserve">Awang, Z. (2012). </w:t>
          </w:r>
          <w:r w:rsidRPr="00895E2F">
            <w:rPr>
              <w:rFonts w:asciiTheme="majorHAnsi" w:eastAsia="Times New Roman" w:hAnsiTheme="majorHAnsi" w:cstheme="majorHAnsi"/>
              <w:i/>
              <w:iCs/>
              <w:kern w:val="0"/>
              <w:lang w:val="en-AU" w:eastAsia="en-AU"/>
            </w:rPr>
            <w:t xml:space="preserve">A handbook on </w:t>
          </w:r>
          <w:r w:rsidRPr="00943049">
            <w:rPr>
              <w:rFonts w:asciiTheme="majorHAnsi" w:eastAsia="Times New Roman" w:hAnsiTheme="majorHAnsi" w:cstheme="majorHAnsi"/>
              <w:i/>
              <w:iCs/>
              <w:kern w:val="0"/>
              <w:lang w:val="en-AU" w:eastAsia="en-AU"/>
            </w:rPr>
            <w:t>structural equation modeling using AMOS</w:t>
          </w:r>
          <w:r w:rsidRPr="00943049">
            <w:rPr>
              <w:rFonts w:asciiTheme="majorHAnsi" w:eastAsia="Times New Roman" w:hAnsiTheme="majorHAnsi" w:cstheme="majorHAnsi"/>
              <w:kern w:val="0"/>
              <w:lang w:val="en-AU" w:eastAsia="en-AU"/>
            </w:rPr>
            <w:t xml:space="preserve">. </w:t>
          </w:r>
          <w:proofErr w:type="spellStart"/>
          <w:r w:rsidRPr="00943049">
            <w:rPr>
              <w:rFonts w:asciiTheme="majorHAnsi" w:eastAsia="Times New Roman" w:hAnsiTheme="majorHAnsi" w:cstheme="majorHAnsi"/>
              <w:kern w:val="0"/>
              <w:lang w:val="en-AU" w:eastAsia="en-AU"/>
            </w:rPr>
            <w:t>Universiti</w:t>
          </w:r>
          <w:proofErr w:type="spellEnd"/>
          <w:r w:rsidRPr="00943049">
            <w:rPr>
              <w:rFonts w:asciiTheme="majorHAnsi" w:eastAsia="Times New Roman" w:hAnsiTheme="majorHAnsi" w:cstheme="majorHAnsi"/>
              <w:kern w:val="0"/>
              <w:lang w:val="en-AU" w:eastAsia="en-AU"/>
            </w:rPr>
            <w:t xml:space="preserve"> </w:t>
          </w:r>
          <w:proofErr w:type="spellStart"/>
          <w:r w:rsidRPr="00943049">
            <w:rPr>
              <w:rFonts w:asciiTheme="majorHAnsi" w:eastAsia="Times New Roman" w:hAnsiTheme="majorHAnsi" w:cstheme="majorHAnsi"/>
              <w:kern w:val="0"/>
              <w:lang w:val="en-AU" w:eastAsia="en-AU"/>
            </w:rPr>
            <w:t>Technologi</w:t>
          </w:r>
          <w:proofErr w:type="spellEnd"/>
          <w:r w:rsidRPr="00943049">
            <w:rPr>
              <w:rFonts w:asciiTheme="majorHAnsi" w:eastAsia="Times New Roman" w:hAnsiTheme="majorHAnsi" w:cstheme="majorHAnsi"/>
              <w:kern w:val="0"/>
              <w:lang w:val="en-AU" w:eastAsia="en-AU"/>
            </w:rPr>
            <w:t xml:space="preserve"> MARA Press.</w:t>
          </w:r>
        </w:p>
        <w:p w14:paraId="3BE47C0D" w14:textId="77777777" w:rsidR="00EB4A16" w:rsidRPr="00943049" w:rsidRDefault="00294565" w:rsidP="00943049">
          <w:pPr>
            <w:pStyle w:val="Bibliography"/>
            <w:rPr>
              <w:rStyle w:val="Hyperlink"/>
              <w:rFonts w:asciiTheme="majorHAnsi" w:hAnsiTheme="majorHAnsi" w:cstheme="majorHAnsi"/>
              <w:color w:val="auto"/>
              <w:u w:val="none"/>
              <w:lang w:val="en-GB"/>
            </w:rPr>
          </w:pPr>
          <w:r w:rsidRPr="00943049">
            <w:rPr>
              <w:rFonts w:asciiTheme="majorHAnsi" w:hAnsiTheme="majorHAnsi" w:cstheme="majorHAnsi"/>
              <w:lang w:val="en-GB"/>
            </w:rPr>
            <w:t xml:space="preserve">Azouvi, P., Ghout, I., Bayen, E., Darnoux, E., Azerad, S., Ruet, A., Vallat-Azouvi, C., Pradat-Diehl, P., Aegerter, P., Charanton, J., &amp; Jourdan, C. (2016). Disability and health-related quality-of-life 4 years after a severe traumatic brain injury: A structural equation modelling analysis. </w:t>
          </w:r>
          <w:r w:rsidRPr="00943049">
            <w:rPr>
              <w:rFonts w:asciiTheme="majorHAnsi" w:hAnsiTheme="majorHAnsi" w:cstheme="majorHAnsi"/>
              <w:i/>
              <w:iCs/>
              <w:lang w:val="en-GB"/>
            </w:rPr>
            <w:t>Brain Injury</w:t>
          </w:r>
          <w:r w:rsidRPr="00943049">
            <w:rPr>
              <w:rFonts w:asciiTheme="majorHAnsi" w:hAnsiTheme="majorHAnsi" w:cstheme="majorHAnsi"/>
              <w:lang w:val="en-GB"/>
            </w:rPr>
            <w:t xml:space="preserve">, </w:t>
          </w:r>
          <w:r w:rsidRPr="00943049">
            <w:rPr>
              <w:rFonts w:asciiTheme="majorHAnsi" w:hAnsiTheme="majorHAnsi" w:cstheme="majorHAnsi"/>
              <w:i/>
              <w:iCs/>
              <w:lang w:val="en-GB"/>
            </w:rPr>
            <w:t>30</w:t>
          </w:r>
          <w:r w:rsidRPr="00943049">
            <w:rPr>
              <w:rFonts w:asciiTheme="majorHAnsi" w:hAnsiTheme="majorHAnsi" w:cstheme="majorHAnsi"/>
              <w:lang w:val="en-GB"/>
            </w:rPr>
            <w:t xml:space="preserve">(13–14), 1665–1671. </w:t>
          </w:r>
          <w:hyperlink r:id="rId12" w:history="1">
            <w:r w:rsidRPr="00943049">
              <w:rPr>
                <w:rStyle w:val="Hyperlink"/>
                <w:rFonts w:asciiTheme="majorHAnsi" w:hAnsiTheme="majorHAnsi" w:cstheme="majorHAnsi"/>
                <w:color w:val="auto"/>
                <w:u w:val="none"/>
                <w:lang w:val="en-GB"/>
              </w:rPr>
              <w:t>https://doi.org/10.1080/02699052.2016.1201593</w:t>
            </w:r>
          </w:hyperlink>
        </w:p>
        <w:p w14:paraId="549906E2" w14:textId="4504A466" w:rsidR="00EB4A16" w:rsidRPr="00943049" w:rsidRDefault="00EB4A16" w:rsidP="00943049">
          <w:pPr>
            <w:pStyle w:val="Bibliography"/>
            <w:rPr>
              <w:rFonts w:asciiTheme="majorHAnsi" w:hAnsiTheme="majorHAnsi" w:cstheme="majorHAnsi"/>
              <w:lang w:val="en-GB"/>
            </w:rPr>
          </w:pPr>
          <w:r w:rsidRPr="00943049">
            <w:rPr>
              <w:rFonts w:asciiTheme="majorHAnsi" w:hAnsiTheme="majorHAnsi" w:cstheme="majorHAnsi"/>
              <w:shd w:val="clear" w:color="auto" w:fill="FFFFFF"/>
            </w:rPr>
            <w:t xml:space="preserve">Bottesi, G., </w:t>
          </w:r>
          <w:proofErr w:type="spellStart"/>
          <w:r w:rsidRPr="00943049">
            <w:rPr>
              <w:rFonts w:asciiTheme="majorHAnsi" w:hAnsiTheme="majorHAnsi" w:cstheme="majorHAnsi"/>
              <w:shd w:val="clear" w:color="auto" w:fill="FFFFFF"/>
            </w:rPr>
            <w:t>Ghisi</w:t>
          </w:r>
          <w:proofErr w:type="spellEnd"/>
          <w:r w:rsidRPr="00943049">
            <w:rPr>
              <w:rFonts w:asciiTheme="majorHAnsi" w:hAnsiTheme="majorHAnsi" w:cstheme="majorHAnsi"/>
              <w:shd w:val="clear" w:color="auto" w:fill="FFFFFF"/>
            </w:rPr>
            <w:t xml:space="preserve">, M., </w:t>
          </w:r>
          <w:proofErr w:type="spellStart"/>
          <w:r w:rsidRPr="00943049">
            <w:rPr>
              <w:rFonts w:asciiTheme="majorHAnsi" w:hAnsiTheme="majorHAnsi" w:cstheme="majorHAnsi"/>
              <w:shd w:val="clear" w:color="auto" w:fill="FFFFFF"/>
            </w:rPr>
            <w:t>Altoè</w:t>
          </w:r>
          <w:proofErr w:type="spellEnd"/>
          <w:r w:rsidRPr="00943049">
            <w:rPr>
              <w:rFonts w:asciiTheme="majorHAnsi" w:hAnsiTheme="majorHAnsi" w:cstheme="majorHAnsi"/>
              <w:shd w:val="clear" w:color="auto" w:fill="FFFFFF"/>
            </w:rPr>
            <w:t xml:space="preserve">, G., Conforti, E., Melli, G., &amp; </w:t>
          </w:r>
          <w:proofErr w:type="spellStart"/>
          <w:r w:rsidRPr="00943049">
            <w:rPr>
              <w:rFonts w:asciiTheme="majorHAnsi" w:hAnsiTheme="majorHAnsi" w:cstheme="majorHAnsi"/>
              <w:shd w:val="clear" w:color="auto" w:fill="FFFFFF"/>
            </w:rPr>
            <w:t>Sica</w:t>
          </w:r>
          <w:proofErr w:type="spellEnd"/>
          <w:r w:rsidRPr="00943049">
            <w:rPr>
              <w:rFonts w:asciiTheme="majorHAnsi" w:hAnsiTheme="majorHAnsi" w:cstheme="majorHAnsi"/>
              <w:shd w:val="clear" w:color="auto" w:fill="FFFFFF"/>
            </w:rPr>
            <w:t>, C. (2015). The Italian version of the Depression Anxiety Stress Scales-21: Factor structure and psychometric properties on community and clinical samples. </w:t>
          </w:r>
          <w:r w:rsidRPr="00943049">
            <w:rPr>
              <w:rFonts w:asciiTheme="majorHAnsi" w:hAnsiTheme="majorHAnsi" w:cstheme="majorHAnsi"/>
              <w:i/>
              <w:iCs/>
              <w:shd w:val="clear" w:color="auto" w:fill="FFFFFF"/>
            </w:rPr>
            <w:t>Comprehensive Psychiatry</w:t>
          </w:r>
          <w:r w:rsidRPr="00943049">
            <w:rPr>
              <w:rFonts w:asciiTheme="majorHAnsi" w:hAnsiTheme="majorHAnsi" w:cstheme="majorHAnsi"/>
              <w:shd w:val="clear" w:color="auto" w:fill="FFFFFF"/>
            </w:rPr>
            <w:t>, </w:t>
          </w:r>
          <w:r w:rsidRPr="00943049">
            <w:rPr>
              <w:rFonts w:asciiTheme="majorHAnsi" w:hAnsiTheme="majorHAnsi" w:cstheme="majorHAnsi"/>
              <w:i/>
              <w:iCs/>
              <w:shd w:val="clear" w:color="auto" w:fill="FFFFFF"/>
            </w:rPr>
            <w:t>60</w:t>
          </w:r>
          <w:r w:rsidRPr="00943049">
            <w:rPr>
              <w:rFonts w:asciiTheme="majorHAnsi" w:hAnsiTheme="majorHAnsi" w:cstheme="majorHAnsi"/>
              <w:shd w:val="clear" w:color="auto" w:fill="FFFFFF"/>
            </w:rPr>
            <w:t>, 170</w:t>
          </w:r>
          <w:r w:rsidRPr="00943049">
            <w:rPr>
              <w:rFonts w:asciiTheme="majorHAnsi" w:hAnsiTheme="majorHAnsi" w:cstheme="majorHAnsi"/>
              <w:lang w:val="en-GB"/>
            </w:rPr>
            <w:t>–</w:t>
          </w:r>
          <w:r w:rsidRPr="00943049">
            <w:rPr>
              <w:rFonts w:asciiTheme="majorHAnsi" w:hAnsiTheme="majorHAnsi" w:cstheme="majorHAnsi"/>
              <w:shd w:val="clear" w:color="auto" w:fill="FFFFFF"/>
            </w:rPr>
            <w:t>181. https://doi.org/10.1016/j.comppsych.2015.04.005</w:t>
          </w:r>
        </w:p>
        <w:p w14:paraId="018805A8" w14:textId="77777777" w:rsidR="00294565" w:rsidRPr="00943049" w:rsidRDefault="00294565" w:rsidP="00943049">
          <w:pPr>
            <w:pStyle w:val="Bibliography"/>
            <w:rPr>
              <w:rFonts w:asciiTheme="majorHAnsi" w:hAnsiTheme="majorHAnsi" w:cstheme="majorHAnsi"/>
              <w:lang w:val="en-GB"/>
            </w:rPr>
          </w:pPr>
          <w:r w:rsidRPr="00943049">
            <w:rPr>
              <w:rFonts w:asciiTheme="majorHAnsi" w:hAnsiTheme="majorHAnsi" w:cstheme="majorHAnsi"/>
              <w:lang w:val="en-GB"/>
            </w:rPr>
            <w:lastRenderedPageBreak/>
            <w:t xml:space="preserve">Bonifay, W., Lane, S. P., &amp; Reise, S. P. (2017). Three concerns with applying a bifactor model as a structure of psychopathology. </w:t>
          </w:r>
          <w:r w:rsidRPr="00943049">
            <w:rPr>
              <w:rFonts w:asciiTheme="majorHAnsi" w:hAnsiTheme="majorHAnsi" w:cstheme="majorHAnsi"/>
              <w:i/>
              <w:iCs/>
              <w:lang w:val="en-GB"/>
            </w:rPr>
            <w:t>Clinical Psychological Science</w:t>
          </w:r>
          <w:r w:rsidRPr="00943049">
            <w:rPr>
              <w:rFonts w:asciiTheme="majorHAnsi" w:hAnsiTheme="majorHAnsi" w:cstheme="majorHAnsi"/>
              <w:lang w:val="en-GB"/>
            </w:rPr>
            <w:t xml:space="preserve">, </w:t>
          </w:r>
          <w:r w:rsidRPr="00943049">
            <w:rPr>
              <w:rFonts w:asciiTheme="majorHAnsi" w:hAnsiTheme="majorHAnsi" w:cstheme="majorHAnsi"/>
              <w:i/>
              <w:iCs/>
              <w:lang w:val="en-GB"/>
            </w:rPr>
            <w:t>5</w:t>
          </w:r>
          <w:r w:rsidRPr="00943049">
            <w:rPr>
              <w:rFonts w:asciiTheme="majorHAnsi" w:hAnsiTheme="majorHAnsi" w:cstheme="majorHAnsi"/>
              <w:lang w:val="en-GB"/>
            </w:rPr>
            <w:t>(1), 184–186. https://doi.org/10.1177/2167702616657069</w:t>
          </w:r>
        </w:p>
        <w:p w14:paraId="79060ACD" w14:textId="1651DB09" w:rsidR="00895E2F" w:rsidRPr="00943049" w:rsidRDefault="00294565" w:rsidP="00943049">
          <w:pPr>
            <w:pStyle w:val="Bibliography"/>
            <w:rPr>
              <w:rFonts w:asciiTheme="majorHAnsi" w:hAnsiTheme="majorHAnsi" w:cstheme="majorHAnsi"/>
              <w:lang w:val="en-GB"/>
            </w:rPr>
          </w:pPr>
          <w:r w:rsidRPr="00943049">
            <w:rPr>
              <w:rFonts w:asciiTheme="majorHAnsi" w:hAnsiTheme="majorHAnsi" w:cstheme="majorHAnsi"/>
              <w:lang w:val="en-GB"/>
            </w:rPr>
            <w:t xml:space="preserve">Bornovalova, M. A., Choate, A. M., Fatimah, H., Petersen, K. J., &amp; Wiernik, B. M. (2020). Appropriate use of bifactor analysis in psychopathology research: Appreciating benefits and limitations. </w:t>
          </w:r>
          <w:r w:rsidRPr="00943049">
            <w:rPr>
              <w:rFonts w:asciiTheme="majorHAnsi" w:hAnsiTheme="majorHAnsi" w:cstheme="majorHAnsi"/>
              <w:i/>
              <w:iCs/>
              <w:lang w:val="en-GB"/>
            </w:rPr>
            <w:t>Biological Psychiatry</w:t>
          </w:r>
          <w:r w:rsidRPr="00943049">
            <w:rPr>
              <w:rFonts w:asciiTheme="majorHAnsi" w:hAnsiTheme="majorHAnsi" w:cstheme="majorHAnsi"/>
              <w:lang w:val="en-GB"/>
            </w:rPr>
            <w:t xml:space="preserve">, </w:t>
          </w:r>
          <w:r w:rsidRPr="00943049">
            <w:rPr>
              <w:rFonts w:asciiTheme="majorHAnsi" w:hAnsiTheme="majorHAnsi" w:cstheme="majorHAnsi"/>
              <w:i/>
              <w:iCs/>
              <w:lang w:val="en-GB"/>
            </w:rPr>
            <w:t>88</w:t>
          </w:r>
          <w:r w:rsidRPr="00943049">
            <w:rPr>
              <w:rFonts w:asciiTheme="majorHAnsi" w:hAnsiTheme="majorHAnsi" w:cstheme="majorHAnsi"/>
              <w:lang w:val="en-GB"/>
            </w:rPr>
            <w:t xml:space="preserve">(1), 18–27. </w:t>
          </w:r>
          <w:r w:rsidR="00895E2F" w:rsidRPr="00943049">
            <w:rPr>
              <w:rFonts w:asciiTheme="majorHAnsi" w:hAnsiTheme="majorHAnsi" w:cstheme="majorHAnsi"/>
              <w:lang w:val="en-GB"/>
            </w:rPr>
            <w:t>https://doi.org/10.1016/j.biopsych.2020.01.013</w:t>
          </w:r>
        </w:p>
        <w:p w14:paraId="56C287E5" w14:textId="6E853AF0" w:rsidR="00895E2F" w:rsidRPr="00943049" w:rsidRDefault="00895E2F" w:rsidP="00943049">
          <w:pPr>
            <w:pStyle w:val="Bibliography"/>
            <w:rPr>
              <w:rFonts w:asciiTheme="majorHAnsi" w:eastAsia="Times New Roman" w:hAnsiTheme="majorHAnsi" w:cstheme="majorHAnsi"/>
              <w:kern w:val="0"/>
              <w:lang w:val="en-AU" w:eastAsia="en-AU"/>
            </w:rPr>
          </w:pPr>
          <w:r w:rsidRPr="00895E2F">
            <w:rPr>
              <w:rFonts w:asciiTheme="majorHAnsi" w:eastAsia="Times New Roman" w:hAnsiTheme="majorHAnsi" w:cstheme="majorHAnsi"/>
              <w:kern w:val="0"/>
              <w:lang w:val="en-AU" w:eastAsia="en-AU"/>
            </w:rPr>
            <w:t xml:space="preserve">Byrne, B. M. (1994). </w:t>
          </w:r>
          <w:r w:rsidRPr="00895E2F">
            <w:rPr>
              <w:rFonts w:asciiTheme="majorHAnsi" w:eastAsia="Times New Roman" w:hAnsiTheme="majorHAnsi" w:cstheme="majorHAnsi"/>
              <w:i/>
              <w:iCs/>
              <w:kern w:val="0"/>
              <w:lang w:val="en-AU" w:eastAsia="en-AU"/>
            </w:rPr>
            <w:t>Structural equation modeling with EQS and EQS/Windows</w:t>
          </w:r>
          <w:r w:rsidRPr="00895E2F">
            <w:rPr>
              <w:rFonts w:asciiTheme="majorHAnsi" w:eastAsia="Times New Roman" w:hAnsiTheme="majorHAnsi" w:cstheme="majorHAnsi"/>
              <w:kern w:val="0"/>
              <w:lang w:val="en-AU" w:eastAsia="en-AU"/>
            </w:rPr>
            <w:t>. Sag</w:t>
          </w:r>
          <w:r w:rsidRPr="00943049">
            <w:rPr>
              <w:rFonts w:asciiTheme="majorHAnsi" w:eastAsia="Times New Roman" w:hAnsiTheme="majorHAnsi" w:cstheme="majorHAnsi"/>
              <w:kern w:val="0"/>
              <w:lang w:val="en-AU" w:eastAsia="en-AU"/>
            </w:rPr>
            <w:t>e</w:t>
          </w:r>
          <w:r w:rsidRPr="00895E2F">
            <w:rPr>
              <w:rFonts w:asciiTheme="majorHAnsi" w:eastAsia="Times New Roman" w:hAnsiTheme="majorHAnsi" w:cstheme="majorHAnsi"/>
              <w:kern w:val="0"/>
              <w:lang w:val="en-AU" w:eastAsia="en-AU"/>
            </w:rPr>
            <w:t>.</w:t>
          </w:r>
        </w:p>
        <w:p w14:paraId="4AD3AE84" w14:textId="135D2213" w:rsidR="0045379A" w:rsidRPr="00943049" w:rsidRDefault="0045379A" w:rsidP="00943049">
          <w:pPr>
            <w:widowControl w:val="0"/>
            <w:autoSpaceDE w:val="0"/>
            <w:autoSpaceDN w:val="0"/>
            <w:adjustRightInd w:val="0"/>
            <w:ind w:left="720" w:hanging="720"/>
            <w:rPr>
              <w:rStyle w:val="Hyperlink"/>
              <w:rFonts w:asciiTheme="majorHAnsi" w:hAnsiTheme="majorHAnsi" w:cstheme="majorHAnsi"/>
              <w:color w:val="auto"/>
              <w:kern w:val="0"/>
            </w:rPr>
          </w:pPr>
          <w:r w:rsidRPr="00943049">
            <w:rPr>
              <w:rFonts w:asciiTheme="majorHAnsi" w:hAnsiTheme="majorHAnsi" w:cstheme="majorHAnsi"/>
              <w:kern w:val="0"/>
            </w:rPr>
            <w:t xml:space="preserve">Conway, C. C., Forbes, M. K., &amp; South, S. C. (2022). A Hierarchical Taxonomy of Psychopathology (HiTOP) Primer for Mental Health Researchers. </w:t>
          </w:r>
          <w:r w:rsidRPr="00943049">
            <w:rPr>
              <w:rFonts w:asciiTheme="majorHAnsi" w:hAnsiTheme="majorHAnsi" w:cstheme="majorHAnsi"/>
              <w:i/>
              <w:iCs/>
              <w:kern w:val="0"/>
            </w:rPr>
            <w:t>Clinical Psychological Science</w:t>
          </w:r>
          <w:r w:rsidRPr="00943049">
            <w:rPr>
              <w:rFonts w:asciiTheme="majorHAnsi" w:hAnsiTheme="majorHAnsi" w:cstheme="majorHAnsi"/>
              <w:kern w:val="0"/>
            </w:rPr>
            <w:t xml:space="preserve">, </w:t>
          </w:r>
          <w:r w:rsidRPr="00943049">
            <w:rPr>
              <w:rFonts w:asciiTheme="majorHAnsi" w:hAnsiTheme="majorHAnsi" w:cstheme="majorHAnsi"/>
              <w:i/>
              <w:iCs/>
              <w:kern w:val="0"/>
            </w:rPr>
            <w:t>10</w:t>
          </w:r>
          <w:r w:rsidRPr="00943049">
            <w:rPr>
              <w:rFonts w:asciiTheme="majorHAnsi" w:hAnsiTheme="majorHAnsi" w:cstheme="majorHAnsi"/>
              <w:kern w:val="0"/>
            </w:rPr>
            <w:t>(2), 236–258. https://doi.org/10.1177/21677026211017834</w:t>
          </w:r>
        </w:p>
        <w:p w14:paraId="7E55A231" w14:textId="412F506B" w:rsidR="00EB4A16" w:rsidRPr="00943049" w:rsidRDefault="00EB4A16" w:rsidP="00943049">
          <w:pPr>
            <w:ind w:left="720" w:hanging="720"/>
            <w:rPr>
              <w:rFonts w:asciiTheme="majorHAnsi" w:hAnsiTheme="majorHAnsi" w:cstheme="majorHAnsi"/>
              <w:shd w:val="clear" w:color="auto" w:fill="FFFFFF"/>
            </w:rPr>
          </w:pPr>
          <w:r w:rsidRPr="00943049">
            <w:rPr>
              <w:rFonts w:asciiTheme="majorHAnsi" w:hAnsiTheme="majorHAnsi" w:cstheme="majorHAnsi"/>
              <w:shd w:val="clear" w:color="auto" w:fill="FFFFFF"/>
            </w:rPr>
            <w:t>Carmichael, J., Spitz, G., Gould, K. R., Johnston, L., Samiotis, A., &amp; Ponsford, J. (2023). Bifactor analysis of the Hospital Anxiety and Depression Scale (HADS) in individuals with traumatic brain injury. </w:t>
          </w:r>
          <w:r w:rsidRPr="00943049">
            <w:rPr>
              <w:rFonts w:asciiTheme="majorHAnsi" w:hAnsiTheme="majorHAnsi" w:cstheme="majorHAnsi"/>
              <w:i/>
              <w:iCs/>
              <w:shd w:val="clear" w:color="auto" w:fill="FFFFFF"/>
            </w:rPr>
            <w:t>Scientific Reports</w:t>
          </w:r>
          <w:r w:rsidRPr="00943049">
            <w:rPr>
              <w:rFonts w:asciiTheme="majorHAnsi" w:hAnsiTheme="majorHAnsi" w:cstheme="majorHAnsi"/>
              <w:shd w:val="clear" w:color="auto" w:fill="FFFFFF"/>
            </w:rPr>
            <w:t>, </w:t>
          </w:r>
          <w:r w:rsidRPr="00943049">
            <w:rPr>
              <w:rFonts w:asciiTheme="majorHAnsi" w:hAnsiTheme="majorHAnsi" w:cstheme="majorHAnsi"/>
              <w:i/>
              <w:iCs/>
              <w:shd w:val="clear" w:color="auto" w:fill="FFFFFF"/>
            </w:rPr>
            <w:t>13</w:t>
          </w:r>
          <w:r w:rsidRPr="00943049">
            <w:rPr>
              <w:rFonts w:asciiTheme="majorHAnsi" w:hAnsiTheme="majorHAnsi" w:cstheme="majorHAnsi"/>
              <w:shd w:val="clear" w:color="auto" w:fill="FFFFFF"/>
            </w:rPr>
            <w:t>(1), 8017. https://doi.org/10.1038/s41598-023-35017-7</w:t>
          </w:r>
        </w:p>
        <w:p w14:paraId="0E83F96D" w14:textId="4AAA537C" w:rsidR="0045379A" w:rsidRPr="00943049" w:rsidRDefault="0045379A" w:rsidP="00943049">
          <w:pPr>
            <w:widowControl w:val="0"/>
            <w:autoSpaceDE w:val="0"/>
            <w:autoSpaceDN w:val="0"/>
            <w:adjustRightInd w:val="0"/>
            <w:ind w:left="720" w:hanging="720"/>
            <w:rPr>
              <w:rFonts w:asciiTheme="majorHAnsi" w:hAnsiTheme="majorHAnsi" w:cstheme="majorHAnsi"/>
              <w:kern w:val="0"/>
            </w:rPr>
          </w:pPr>
          <w:r w:rsidRPr="00943049">
            <w:rPr>
              <w:rFonts w:asciiTheme="majorHAnsi" w:hAnsiTheme="majorHAnsi" w:cstheme="majorHAnsi"/>
              <w:kern w:val="0"/>
            </w:rPr>
            <w:t xml:space="preserve">Carroll, E., &amp; Coetzer, R. (2011). Identity, grief and self-awareness after traumatic brain injury. </w:t>
          </w:r>
          <w:r w:rsidRPr="00943049">
            <w:rPr>
              <w:rFonts w:asciiTheme="majorHAnsi" w:hAnsiTheme="majorHAnsi" w:cstheme="majorHAnsi"/>
              <w:i/>
              <w:iCs/>
              <w:kern w:val="0"/>
            </w:rPr>
            <w:t>Neuropsychological Rehabilitation</w:t>
          </w:r>
          <w:r w:rsidRPr="00943049">
            <w:rPr>
              <w:rFonts w:asciiTheme="majorHAnsi" w:hAnsiTheme="majorHAnsi" w:cstheme="majorHAnsi"/>
              <w:kern w:val="0"/>
            </w:rPr>
            <w:t xml:space="preserve">, </w:t>
          </w:r>
          <w:r w:rsidRPr="00943049">
            <w:rPr>
              <w:rFonts w:asciiTheme="majorHAnsi" w:hAnsiTheme="majorHAnsi" w:cstheme="majorHAnsi"/>
              <w:i/>
              <w:iCs/>
              <w:kern w:val="0"/>
            </w:rPr>
            <w:t>21</w:t>
          </w:r>
          <w:r w:rsidRPr="00943049">
            <w:rPr>
              <w:rFonts w:asciiTheme="majorHAnsi" w:hAnsiTheme="majorHAnsi" w:cstheme="majorHAnsi"/>
              <w:kern w:val="0"/>
            </w:rPr>
            <w:t>(3), 289–305. https://doi.org/10.1080/09602011.2011.555972</w:t>
          </w:r>
        </w:p>
        <w:p w14:paraId="6D00A934" w14:textId="2AF26744" w:rsidR="00EB4A16" w:rsidRPr="00943049" w:rsidRDefault="00EB4A16" w:rsidP="00943049">
          <w:pPr>
            <w:widowControl w:val="0"/>
            <w:autoSpaceDE w:val="0"/>
            <w:autoSpaceDN w:val="0"/>
            <w:adjustRightInd w:val="0"/>
            <w:ind w:left="720" w:hanging="720"/>
            <w:rPr>
              <w:rFonts w:asciiTheme="majorHAnsi" w:hAnsiTheme="majorHAnsi" w:cstheme="majorHAnsi"/>
              <w:kern w:val="0"/>
            </w:rPr>
          </w:pPr>
          <w:r w:rsidRPr="00943049">
            <w:rPr>
              <w:rFonts w:asciiTheme="majorHAnsi" w:hAnsiTheme="majorHAnsi" w:cstheme="majorHAnsi"/>
              <w:shd w:val="clear" w:color="auto" w:fill="FFFFFF"/>
            </w:rPr>
            <w:t xml:space="preserve">Chen, I.-H., Chen, C.-Y., Liao, X.-L., Chen, X.-M., Zheng, X., Tsai, Y.-C., Lin, C.-Y., Griffiths, M. D., &amp; </w:t>
          </w:r>
          <w:proofErr w:type="spellStart"/>
          <w:r w:rsidRPr="00943049">
            <w:rPr>
              <w:rFonts w:asciiTheme="majorHAnsi" w:hAnsiTheme="majorHAnsi" w:cstheme="majorHAnsi"/>
              <w:shd w:val="clear" w:color="auto" w:fill="FFFFFF"/>
            </w:rPr>
            <w:t>Pakpour</w:t>
          </w:r>
          <w:proofErr w:type="spellEnd"/>
          <w:r w:rsidRPr="00943049">
            <w:rPr>
              <w:rFonts w:asciiTheme="majorHAnsi" w:hAnsiTheme="majorHAnsi" w:cstheme="majorHAnsi"/>
              <w:shd w:val="clear" w:color="auto" w:fill="FFFFFF"/>
            </w:rPr>
            <w:t>, A. H. (2023). Psychometric properties of the Depression, Anxiety, and Stress Scale (DASS-21) among different Chinese populations: a cross-sectional and longitudinal analysis. </w:t>
          </w:r>
          <w:r w:rsidRPr="00943049">
            <w:rPr>
              <w:rFonts w:asciiTheme="majorHAnsi" w:hAnsiTheme="majorHAnsi" w:cstheme="majorHAnsi"/>
              <w:i/>
              <w:iCs/>
              <w:shd w:val="clear" w:color="auto" w:fill="FFFFFF"/>
            </w:rPr>
            <w:t xml:space="preserve">Acta </w:t>
          </w:r>
          <w:proofErr w:type="spellStart"/>
          <w:r w:rsidRPr="00943049">
            <w:rPr>
              <w:rFonts w:asciiTheme="majorHAnsi" w:hAnsiTheme="majorHAnsi" w:cstheme="majorHAnsi"/>
              <w:i/>
              <w:iCs/>
              <w:shd w:val="clear" w:color="auto" w:fill="FFFFFF"/>
            </w:rPr>
            <w:t>Psychologica</w:t>
          </w:r>
          <w:proofErr w:type="spellEnd"/>
          <w:r w:rsidRPr="00943049">
            <w:rPr>
              <w:rFonts w:asciiTheme="majorHAnsi" w:hAnsiTheme="majorHAnsi" w:cstheme="majorHAnsi"/>
              <w:shd w:val="clear" w:color="auto" w:fill="FFFFFF"/>
            </w:rPr>
            <w:t>, </w:t>
          </w:r>
          <w:r w:rsidRPr="00943049">
            <w:rPr>
              <w:rFonts w:asciiTheme="majorHAnsi" w:hAnsiTheme="majorHAnsi" w:cstheme="majorHAnsi"/>
              <w:i/>
              <w:iCs/>
              <w:shd w:val="clear" w:color="auto" w:fill="FFFFFF"/>
            </w:rPr>
            <w:t>240</w:t>
          </w:r>
          <w:r w:rsidRPr="00943049">
            <w:rPr>
              <w:rFonts w:asciiTheme="majorHAnsi" w:hAnsiTheme="majorHAnsi" w:cstheme="majorHAnsi"/>
              <w:shd w:val="clear" w:color="auto" w:fill="FFFFFF"/>
            </w:rPr>
            <w:t>, 104042. https://doi.org/10.1016/j.actpsy.2023.104042</w:t>
          </w:r>
        </w:p>
        <w:p w14:paraId="714C3DA6" w14:textId="77777777" w:rsidR="00294565" w:rsidRPr="00943049" w:rsidRDefault="00294565" w:rsidP="00943049">
          <w:pPr>
            <w:pStyle w:val="Bibliography"/>
            <w:rPr>
              <w:rFonts w:asciiTheme="majorHAnsi" w:hAnsiTheme="majorHAnsi" w:cstheme="majorHAnsi"/>
              <w:lang w:val="en-GB"/>
            </w:rPr>
          </w:pPr>
          <w:r w:rsidRPr="00943049">
            <w:rPr>
              <w:rFonts w:asciiTheme="majorHAnsi" w:hAnsiTheme="majorHAnsi" w:cstheme="majorHAnsi"/>
              <w:lang w:val="en-GB"/>
            </w:rPr>
            <w:lastRenderedPageBreak/>
            <w:t xml:space="preserve">Chen, F. F., West, S. G., &amp; Sousa, K. H. (2006). A comparison of bifactor and second-order models of quality of life. </w:t>
          </w:r>
          <w:r w:rsidRPr="00943049">
            <w:rPr>
              <w:rFonts w:asciiTheme="majorHAnsi" w:hAnsiTheme="majorHAnsi" w:cstheme="majorHAnsi"/>
              <w:i/>
              <w:iCs/>
              <w:lang w:val="en-GB"/>
            </w:rPr>
            <w:t>Multivariate Behavioral Research</w:t>
          </w:r>
          <w:r w:rsidRPr="00943049">
            <w:rPr>
              <w:rFonts w:asciiTheme="majorHAnsi" w:hAnsiTheme="majorHAnsi" w:cstheme="majorHAnsi"/>
              <w:lang w:val="en-GB"/>
            </w:rPr>
            <w:t xml:space="preserve">, </w:t>
          </w:r>
          <w:r w:rsidRPr="00943049">
            <w:rPr>
              <w:rFonts w:asciiTheme="majorHAnsi" w:hAnsiTheme="majorHAnsi" w:cstheme="majorHAnsi"/>
              <w:i/>
              <w:iCs/>
              <w:lang w:val="en-GB"/>
            </w:rPr>
            <w:t>41</w:t>
          </w:r>
          <w:r w:rsidRPr="00943049">
            <w:rPr>
              <w:rFonts w:asciiTheme="majorHAnsi" w:hAnsiTheme="majorHAnsi" w:cstheme="majorHAnsi"/>
              <w:lang w:val="en-GB"/>
            </w:rPr>
            <w:t>(2), 189–225. https://doi.org/10.1207/s15327906mbr4102_5</w:t>
          </w:r>
        </w:p>
        <w:p w14:paraId="14E5F295" w14:textId="77777777" w:rsidR="00294565" w:rsidRPr="00943049" w:rsidRDefault="00294565" w:rsidP="00943049">
          <w:pPr>
            <w:pStyle w:val="Bibliography"/>
            <w:rPr>
              <w:rStyle w:val="Hyperlink"/>
              <w:rFonts w:asciiTheme="majorHAnsi" w:hAnsiTheme="majorHAnsi" w:cstheme="majorHAnsi"/>
              <w:color w:val="auto"/>
              <w:u w:val="none"/>
              <w:lang w:val="en-GB"/>
            </w:rPr>
          </w:pPr>
          <w:r w:rsidRPr="00943049">
            <w:rPr>
              <w:rFonts w:asciiTheme="majorHAnsi" w:hAnsiTheme="majorHAnsi" w:cstheme="majorHAnsi"/>
              <w:lang w:val="en-GB"/>
            </w:rPr>
            <w:t xml:space="preserve">Clark, L. A., &amp; Watson, D. (1991). Tripartite model of anxiety and depression: Psychometric evidence and taxonomic implications. </w:t>
          </w:r>
          <w:r w:rsidRPr="00943049">
            <w:rPr>
              <w:rFonts w:asciiTheme="majorHAnsi" w:hAnsiTheme="majorHAnsi" w:cstheme="majorHAnsi"/>
              <w:i/>
              <w:iCs/>
              <w:lang w:val="en-GB"/>
            </w:rPr>
            <w:t>Journal of Abnormal Psychology</w:t>
          </w:r>
          <w:r w:rsidRPr="00943049">
            <w:rPr>
              <w:rFonts w:asciiTheme="majorHAnsi" w:hAnsiTheme="majorHAnsi" w:cstheme="majorHAnsi"/>
              <w:lang w:val="en-GB"/>
            </w:rPr>
            <w:t xml:space="preserve">, </w:t>
          </w:r>
          <w:r w:rsidRPr="00943049">
            <w:rPr>
              <w:rFonts w:asciiTheme="majorHAnsi" w:hAnsiTheme="majorHAnsi" w:cstheme="majorHAnsi"/>
              <w:i/>
              <w:iCs/>
              <w:lang w:val="en-GB"/>
            </w:rPr>
            <w:t>100</w:t>
          </w:r>
          <w:r w:rsidRPr="00943049">
            <w:rPr>
              <w:rFonts w:asciiTheme="majorHAnsi" w:hAnsiTheme="majorHAnsi" w:cstheme="majorHAnsi"/>
              <w:lang w:val="en-GB"/>
            </w:rPr>
            <w:t xml:space="preserve">(3), 316–336. </w:t>
          </w:r>
          <w:hyperlink r:id="rId13" w:history="1">
            <w:r w:rsidRPr="00943049">
              <w:rPr>
                <w:rStyle w:val="Hyperlink"/>
                <w:rFonts w:asciiTheme="majorHAnsi" w:hAnsiTheme="majorHAnsi" w:cstheme="majorHAnsi"/>
                <w:color w:val="auto"/>
                <w:u w:val="none"/>
                <w:lang w:val="en-GB"/>
              </w:rPr>
              <w:t>https://doi.org/10.1037/0021-843X.100.3.316</w:t>
            </w:r>
          </w:hyperlink>
        </w:p>
        <w:p w14:paraId="6E3D488B" w14:textId="447C318F" w:rsidR="0045379A" w:rsidRPr="00943049" w:rsidRDefault="0045379A" w:rsidP="00943049">
          <w:pPr>
            <w:widowControl w:val="0"/>
            <w:autoSpaceDE w:val="0"/>
            <w:autoSpaceDN w:val="0"/>
            <w:adjustRightInd w:val="0"/>
            <w:ind w:left="720" w:hanging="720"/>
            <w:rPr>
              <w:rFonts w:asciiTheme="majorHAnsi" w:hAnsiTheme="majorHAnsi" w:cstheme="majorHAnsi"/>
              <w:shd w:val="clear" w:color="auto" w:fill="FFFFFF"/>
            </w:rPr>
          </w:pPr>
          <w:r w:rsidRPr="00943049">
            <w:rPr>
              <w:rFonts w:asciiTheme="majorHAnsi" w:hAnsiTheme="majorHAnsi" w:cstheme="majorHAnsi"/>
              <w:shd w:val="clear" w:color="auto" w:fill="FFFFFF"/>
            </w:rPr>
            <w:t>Crawford, J., Cayley, C., Lovibond, P. F., Wilson, P. H., &amp; Hartley, C. (2011). Percentile norms and accompanying interval estimates from an Australian general adult population sample for self‐report mood scales (BAI, BDI, CRSD, CES‐D, DASS, DASS‐21, STAI‐X, STAI‐Y, SRDS, and SRAS). </w:t>
          </w:r>
          <w:r w:rsidRPr="00943049">
            <w:rPr>
              <w:rFonts w:asciiTheme="majorHAnsi" w:hAnsiTheme="majorHAnsi" w:cstheme="majorHAnsi"/>
              <w:i/>
              <w:iCs/>
              <w:shd w:val="clear" w:color="auto" w:fill="FFFFFF"/>
            </w:rPr>
            <w:t>Australian Psychologist</w:t>
          </w:r>
          <w:r w:rsidRPr="00943049">
            <w:rPr>
              <w:rFonts w:asciiTheme="majorHAnsi" w:hAnsiTheme="majorHAnsi" w:cstheme="majorHAnsi"/>
              <w:shd w:val="clear" w:color="auto" w:fill="FFFFFF"/>
            </w:rPr>
            <w:t>, </w:t>
          </w:r>
          <w:r w:rsidRPr="00943049">
            <w:rPr>
              <w:rFonts w:asciiTheme="majorHAnsi" w:hAnsiTheme="majorHAnsi" w:cstheme="majorHAnsi"/>
              <w:i/>
              <w:iCs/>
              <w:shd w:val="clear" w:color="auto" w:fill="FFFFFF"/>
            </w:rPr>
            <w:t>46</w:t>
          </w:r>
          <w:r w:rsidRPr="00943049">
            <w:rPr>
              <w:rFonts w:asciiTheme="majorHAnsi" w:hAnsiTheme="majorHAnsi" w:cstheme="majorHAnsi"/>
              <w:shd w:val="clear" w:color="auto" w:fill="FFFFFF"/>
            </w:rPr>
            <w:t>(1), 3–14. https://doi.org/10.1111/j.1742-9544.2010.00003.x</w:t>
          </w:r>
        </w:p>
        <w:p w14:paraId="0EE67B5E" w14:textId="79C47DF7" w:rsidR="0045379A" w:rsidRPr="00943049" w:rsidRDefault="0045379A" w:rsidP="00943049">
          <w:pPr>
            <w:widowControl w:val="0"/>
            <w:autoSpaceDE w:val="0"/>
            <w:autoSpaceDN w:val="0"/>
            <w:adjustRightInd w:val="0"/>
            <w:ind w:left="720" w:hanging="720"/>
            <w:rPr>
              <w:rFonts w:asciiTheme="majorHAnsi" w:hAnsiTheme="majorHAnsi" w:cstheme="majorHAnsi"/>
            </w:rPr>
          </w:pPr>
          <w:r w:rsidRPr="00943049">
            <w:rPr>
              <w:rFonts w:asciiTheme="majorHAnsi" w:hAnsiTheme="majorHAnsi" w:cstheme="majorHAnsi"/>
            </w:rPr>
            <w:t>Crawford, J. R., Garthwaite, P. H., Lawrie, C. J., Henry, J. D., MacDonald, M. A., Sutherland, J., &amp; Sinha, P. (2009). A convenient method of obtaining percentile norms and accompanying interval estimates for self-report mood scales (DASS, DASS-21, HADS, PANAS, and sAD). </w:t>
          </w:r>
          <w:r w:rsidRPr="00943049">
            <w:rPr>
              <w:rFonts w:asciiTheme="majorHAnsi" w:hAnsiTheme="majorHAnsi" w:cstheme="majorHAnsi"/>
              <w:i/>
              <w:iCs/>
            </w:rPr>
            <w:t>British Journal of Clinical Psychology</w:t>
          </w:r>
          <w:r w:rsidRPr="00943049">
            <w:rPr>
              <w:rFonts w:asciiTheme="majorHAnsi" w:hAnsiTheme="majorHAnsi" w:cstheme="majorHAnsi"/>
            </w:rPr>
            <w:t xml:space="preserve">, </w:t>
          </w:r>
          <w:r w:rsidRPr="00943049">
            <w:rPr>
              <w:rFonts w:asciiTheme="majorHAnsi" w:hAnsiTheme="majorHAnsi" w:cstheme="majorHAnsi"/>
              <w:i/>
              <w:iCs/>
            </w:rPr>
            <w:t>48</w:t>
          </w:r>
          <w:r w:rsidRPr="00943049">
            <w:rPr>
              <w:rFonts w:asciiTheme="majorHAnsi" w:hAnsiTheme="majorHAnsi" w:cstheme="majorHAnsi"/>
            </w:rPr>
            <w:t>(2), 163–180. https://doi.org/10.1348/014466508X377757</w:t>
          </w:r>
        </w:p>
        <w:p w14:paraId="654D4B45" w14:textId="77777777" w:rsidR="00294565" w:rsidRPr="00943049" w:rsidRDefault="00294565" w:rsidP="00943049">
          <w:pPr>
            <w:pStyle w:val="Bibliography"/>
            <w:rPr>
              <w:rStyle w:val="Hyperlink"/>
              <w:rFonts w:asciiTheme="majorHAnsi" w:hAnsiTheme="majorHAnsi" w:cstheme="majorHAnsi"/>
              <w:color w:val="auto"/>
              <w:u w:val="none"/>
              <w:lang w:val="en-GB"/>
            </w:rPr>
          </w:pPr>
          <w:r w:rsidRPr="00943049">
            <w:rPr>
              <w:rFonts w:asciiTheme="majorHAnsi" w:hAnsiTheme="majorHAnsi" w:cstheme="majorHAnsi"/>
              <w:lang w:val="en-GB"/>
            </w:rPr>
            <w:t xml:space="preserve">Dahm, J., Wong, D., &amp; Ponsford, J. (2013). Validity of the Depression Anxiety Stress Scales in assessing depression and anxiety following traumatic brain injury. </w:t>
          </w:r>
          <w:r w:rsidRPr="00943049">
            <w:rPr>
              <w:rFonts w:asciiTheme="majorHAnsi" w:hAnsiTheme="majorHAnsi" w:cstheme="majorHAnsi"/>
              <w:i/>
              <w:iCs/>
              <w:lang w:val="en-GB"/>
            </w:rPr>
            <w:t>Journal of Affective Disorders</w:t>
          </w:r>
          <w:r w:rsidRPr="00943049">
            <w:rPr>
              <w:rFonts w:asciiTheme="majorHAnsi" w:hAnsiTheme="majorHAnsi" w:cstheme="majorHAnsi"/>
              <w:lang w:val="en-GB"/>
            </w:rPr>
            <w:t xml:space="preserve">, </w:t>
          </w:r>
          <w:r w:rsidRPr="00943049">
            <w:rPr>
              <w:rFonts w:asciiTheme="majorHAnsi" w:hAnsiTheme="majorHAnsi" w:cstheme="majorHAnsi"/>
              <w:i/>
              <w:iCs/>
              <w:lang w:val="en-GB"/>
            </w:rPr>
            <w:t>151</w:t>
          </w:r>
          <w:r w:rsidRPr="00943049">
            <w:rPr>
              <w:rFonts w:asciiTheme="majorHAnsi" w:hAnsiTheme="majorHAnsi" w:cstheme="majorHAnsi"/>
              <w:lang w:val="en-GB"/>
            </w:rPr>
            <w:t xml:space="preserve">(1), 392–396. </w:t>
          </w:r>
          <w:hyperlink r:id="rId14" w:history="1">
            <w:r w:rsidRPr="00943049">
              <w:rPr>
                <w:rStyle w:val="Hyperlink"/>
                <w:rFonts w:asciiTheme="majorHAnsi" w:hAnsiTheme="majorHAnsi" w:cstheme="majorHAnsi"/>
                <w:color w:val="auto"/>
                <w:u w:val="none"/>
                <w:lang w:val="en-GB"/>
              </w:rPr>
              <w:t>https://doi.org/10.1016/j.jad.2013.06.011</w:t>
            </w:r>
          </w:hyperlink>
        </w:p>
        <w:p w14:paraId="62A3E6A1" w14:textId="18DFB1DB" w:rsidR="00895E2F" w:rsidRPr="00943049" w:rsidRDefault="00895E2F" w:rsidP="00943049">
          <w:pPr>
            <w:widowControl w:val="0"/>
            <w:autoSpaceDE w:val="0"/>
            <w:autoSpaceDN w:val="0"/>
            <w:adjustRightInd w:val="0"/>
            <w:ind w:left="720" w:hanging="720"/>
            <w:rPr>
              <w:rFonts w:asciiTheme="majorHAnsi" w:hAnsiTheme="majorHAnsi" w:cstheme="majorHAnsi"/>
            </w:rPr>
          </w:pPr>
          <w:r w:rsidRPr="00943049">
            <w:rPr>
              <w:rFonts w:asciiTheme="majorHAnsi" w:hAnsiTheme="majorHAnsi" w:cstheme="majorHAnsi"/>
            </w:rPr>
            <w:t>Dai, S., Wang, X., &amp; Svetina, D. Package ‘subscore’ (Version 3.3) [R package] https://cran.r-project.org/web/packages/subscore/index.html</w:t>
          </w:r>
        </w:p>
        <w:p w14:paraId="2F6F75DC" w14:textId="79124990" w:rsidR="00895E2F" w:rsidRPr="00943049" w:rsidRDefault="00895E2F" w:rsidP="00943049">
          <w:pPr>
            <w:widowControl w:val="0"/>
            <w:autoSpaceDE w:val="0"/>
            <w:autoSpaceDN w:val="0"/>
            <w:adjustRightInd w:val="0"/>
            <w:ind w:left="720" w:hanging="720"/>
            <w:rPr>
              <w:rFonts w:asciiTheme="majorHAnsi" w:hAnsiTheme="majorHAnsi" w:cstheme="majorHAnsi"/>
            </w:rPr>
          </w:pPr>
          <w:r w:rsidRPr="00943049">
            <w:rPr>
              <w:rFonts w:asciiTheme="majorHAnsi" w:hAnsiTheme="majorHAnsi" w:cstheme="majorHAnsi"/>
            </w:rPr>
            <w:t>Dueber, D. Package ‘BifactorIndicesCalculator’ (Version 0.0.2) [R package]. https://cran.r-project.org/web/packages/BifactorIndicesCalculator/index.html</w:t>
          </w:r>
        </w:p>
        <w:p w14:paraId="0C70EDFE" w14:textId="3CC26752" w:rsidR="00895E2F" w:rsidRPr="00943049" w:rsidRDefault="00895E2F" w:rsidP="00943049">
          <w:pPr>
            <w:widowControl w:val="0"/>
            <w:autoSpaceDE w:val="0"/>
            <w:autoSpaceDN w:val="0"/>
            <w:adjustRightInd w:val="0"/>
            <w:ind w:left="720" w:hanging="720"/>
            <w:rPr>
              <w:rFonts w:asciiTheme="majorHAnsi" w:hAnsiTheme="majorHAnsi" w:cstheme="majorHAnsi"/>
              <w:shd w:val="clear" w:color="auto" w:fill="FFFFFF"/>
            </w:rPr>
          </w:pPr>
          <w:r w:rsidRPr="00943049">
            <w:rPr>
              <w:rFonts w:asciiTheme="majorHAnsi" w:hAnsiTheme="majorHAnsi" w:cstheme="majorHAnsi"/>
              <w:shd w:val="clear" w:color="auto" w:fill="FFFFFF"/>
            </w:rPr>
            <w:t>Dueber, D. M., &amp; Toland, M. D. (2023). A bifactor approach to subscore assessment. </w:t>
          </w:r>
          <w:r w:rsidRPr="00943049">
            <w:rPr>
              <w:rFonts w:asciiTheme="majorHAnsi" w:hAnsiTheme="majorHAnsi" w:cstheme="majorHAnsi"/>
              <w:i/>
              <w:iCs/>
              <w:shd w:val="clear" w:color="auto" w:fill="FFFFFF"/>
            </w:rPr>
            <w:t>Psychological Methods</w:t>
          </w:r>
          <w:r w:rsidRPr="00943049">
            <w:rPr>
              <w:rFonts w:asciiTheme="majorHAnsi" w:hAnsiTheme="majorHAnsi" w:cstheme="majorHAnsi"/>
              <w:shd w:val="clear" w:color="auto" w:fill="FFFFFF"/>
            </w:rPr>
            <w:t>, </w:t>
          </w:r>
          <w:r w:rsidRPr="00943049">
            <w:rPr>
              <w:rFonts w:asciiTheme="majorHAnsi" w:hAnsiTheme="majorHAnsi" w:cstheme="majorHAnsi"/>
              <w:i/>
              <w:iCs/>
              <w:shd w:val="clear" w:color="auto" w:fill="FFFFFF"/>
            </w:rPr>
            <w:t>28</w:t>
          </w:r>
          <w:r w:rsidRPr="00943049">
            <w:rPr>
              <w:rFonts w:asciiTheme="majorHAnsi" w:hAnsiTheme="majorHAnsi" w:cstheme="majorHAnsi"/>
              <w:shd w:val="clear" w:color="auto" w:fill="FFFFFF"/>
            </w:rPr>
            <w:t xml:space="preserve">(1), 222–241. </w:t>
          </w:r>
          <w:r w:rsidRPr="00943049">
            <w:rPr>
              <w:rFonts w:asciiTheme="majorHAnsi" w:hAnsiTheme="majorHAnsi" w:cstheme="majorHAnsi"/>
              <w:shd w:val="clear" w:color="auto" w:fill="FFFFFF"/>
            </w:rPr>
            <w:lastRenderedPageBreak/>
            <w:t>https://doi.org/10.1037/met0000459</w:t>
          </w:r>
        </w:p>
        <w:p w14:paraId="211FE919" w14:textId="34B4DAB0" w:rsidR="00895E2F" w:rsidRPr="00943049" w:rsidRDefault="00895E2F" w:rsidP="00943049">
          <w:pPr>
            <w:widowControl w:val="0"/>
            <w:autoSpaceDE w:val="0"/>
            <w:autoSpaceDN w:val="0"/>
            <w:adjustRightInd w:val="0"/>
            <w:ind w:left="720" w:hanging="720"/>
            <w:rPr>
              <w:rFonts w:asciiTheme="majorHAnsi" w:hAnsiTheme="majorHAnsi" w:cstheme="majorHAnsi"/>
            </w:rPr>
          </w:pPr>
          <w:r w:rsidRPr="00943049">
            <w:rPr>
              <w:rFonts w:asciiTheme="majorHAnsi" w:hAnsiTheme="majorHAnsi" w:cstheme="majorHAnsi"/>
            </w:rPr>
            <w:t>Eid, M., Geiser, C., Koch, T., &amp; Heene, M. (2017). Anomalous results in G-factor models: Explanations and alternatives. </w:t>
          </w:r>
          <w:r w:rsidRPr="00943049">
            <w:rPr>
              <w:rFonts w:asciiTheme="majorHAnsi" w:hAnsiTheme="majorHAnsi" w:cstheme="majorHAnsi"/>
              <w:i/>
              <w:iCs/>
            </w:rPr>
            <w:t>Psychological Methods</w:t>
          </w:r>
          <w:r w:rsidRPr="00943049">
            <w:rPr>
              <w:rFonts w:asciiTheme="majorHAnsi" w:hAnsiTheme="majorHAnsi" w:cstheme="majorHAnsi"/>
            </w:rPr>
            <w:t>, </w:t>
          </w:r>
          <w:r w:rsidRPr="00943049">
            <w:rPr>
              <w:rFonts w:asciiTheme="majorHAnsi" w:hAnsiTheme="majorHAnsi" w:cstheme="majorHAnsi"/>
              <w:i/>
              <w:iCs/>
            </w:rPr>
            <w:t>22</w:t>
          </w:r>
          <w:r w:rsidRPr="00943049">
            <w:rPr>
              <w:rFonts w:asciiTheme="majorHAnsi" w:hAnsiTheme="majorHAnsi" w:cstheme="majorHAnsi"/>
            </w:rPr>
            <w:t>(3), 541–562. https://doi.org/10.1037/met0000083</w:t>
          </w:r>
        </w:p>
        <w:p w14:paraId="4C98A142" w14:textId="55455411" w:rsidR="00895E2F" w:rsidRPr="00943049" w:rsidRDefault="00895E2F" w:rsidP="00943049">
          <w:pPr>
            <w:widowControl w:val="0"/>
            <w:autoSpaceDE w:val="0"/>
            <w:autoSpaceDN w:val="0"/>
            <w:adjustRightInd w:val="0"/>
            <w:ind w:left="720" w:hanging="720"/>
            <w:rPr>
              <w:rStyle w:val="anchor-text"/>
              <w:rFonts w:asciiTheme="majorHAnsi" w:hAnsiTheme="majorHAnsi" w:cstheme="majorHAnsi"/>
            </w:rPr>
          </w:pPr>
          <w:r w:rsidRPr="00943049">
            <w:rPr>
              <w:rFonts w:asciiTheme="majorHAnsi" w:hAnsiTheme="majorHAnsi" w:cstheme="majorHAnsi"/>
              <w:shd w:val="clear" w:color="auto" w:fill="FFFFFF"/>
            </w:rPr>
            <w:t>Farrell, A. M. (2010). Insufficient discriminant validity: A comment on Bove, Pervan, Beatty, and Shiu (2009). </w:t>
          </w:r>
          <w:r w:rsidRPr="00943049">
            <w:rPr>
              <w:rFonts w:asciiTheme="majorHAnsi" w:hAnsiTheme="majorHAnsi" w:cstheme="majorHAnsi"/>
              <w:i/>
              <w:iCs/>
              <w:shd w:val="clear" w:color="auto" w:fill="FFFFFF"/>
            </w:rPr>
            <w:t>Journal of Business Research</w:t>
          </w:r>
          <w:r w:rsidRPr="00943049">
            <w:rPr>
              <w:rFonts w:asciiTheme="majorHAnsi" w:hAnsiTheme="majorHAnsi" w:cstheme="majorHAnsi"/>
              <w:shd w:val="clear" w:color="auto" w:fill="FFFFFF"/>
            </w:rPr>
            <w:t>, </w:t>
          </w:r>
          <w:r w:rsidRPr="00943049">
            <w:rPr>
              <w:rFonts w:asciiTheme="majorHAnsi" w:hAnsiTheme="majorHAnsi" w:cstheme="majorHAnsi"/>
              <w:i/>
              <w:iCs/>
              <w:shd w:val="clear" w:color="auto" w:fill="FFFFFF"/>
            </w:rPr>
            <w:t>63</w:t>
          </w:r>
          <w:r w:rsidRPr="00943049">
            <w:rPr>
              <w:rFonts w:asciiTheme="majorHAnsi" w:hAnsiTheme="majorHAnsi" w:cstheme="majorHAnsi"/>
              <w:shd w:val="clear" w:color="auto" w:fill="FFFFFF"/>
            </w:rPr>
            <w:t>(3), 324</w:t>
          </w:r>
          <w:r w:rsidRPr="00943049">
            <w:rPr>
              <w:rFonts w:asciiTheme="majorHAnsi" w:hAnsiTheme="majorHAnsi" w:cstheme="majorHAnsi"/>
              <w:lang w:val="en-GB"/>
            </w:rPr>
            <w:t>–</w:t>
          </w:r>
          <w:r w:rsidRPr="00943049">
            <w:rPr>
              <w:rFonts w:asciiTheme="majorHAnsi" w:hAnsiTheme="majorHAnsi" w:cstheme="majorHAnsi"/>
              <w:shd w:val="clear" w:color="auto" w:fill="FFFFFF"/>
            </w:rPr>
            <w:t xml:space="preserve">327. </w:t>
          </w:r>
          <w:r w:rsidRPr="00943049">
            <w:rPr>
              <w:rStyle w:val="anchor-text"/>
              <w:rFonts w:asciiTheme="majorHAnsi" w:hAnsiTheme="majorHAnsi" w:cstheme="majorHAnsi"/>
            </w:rPr>
            <w:t>https://doi.org/10.1016/j.jbusres.2009.05.003</w:t>
          </w:r>
        </w:p>
        <w:p w14:paraId="1C5D9239" w14:textId="7D5B1C52" w:rsidR="0045379A" w:rsidRPr="00943049" w:rsidRDefault="0045379A" w:rsidP="00943049">
          <w:pPr>
            <w:widowControl w:val="0"/>
            <w:autoSpaceDE w:val="0"/>
            <w:autoSpaceDN w:val="0"/>
            <w:adjustRightInd w:val="0"/>
            <w:ind w:left="720" w:hanging="720"/>
            <w:rPr>
              <w:rStyle w:val="anchor-text"/>
              <w:rFonts w:asciiTheme="majorHAnsi" w:hAnsiTheme="majorHAnsi" w:cstheme="majorHAnsi"/>
              <w:kern w:val="0"/>
            </w:rPr>
          </w:pPr>
          <w:r w:rsidRPr="00943049">
            <w:rPr>
              <w:rFonts w:asciiTheme="majorHAnsi" w:hAnsiTheme="majorHAnsi" w:cstheme="majorHAnsi"/>
              <w:kern w:val="0"/>
            </w:rPr>
            <w:t xml:space="preserve">Feiger, J. A., Snyder, R. L., Walsh, M. J., Cissne, M., Cwiek, A., Al-Momani, S. I., &amp; Chiou, K. S. (2022). The Role of Neuroinflammation in Neuropsychiatric Disorders Following Traumatic Brain Injury: A Systematic Review. </w:t>
          </w:r>
          <w:r w:rsidRPr="00943049">
            <w:rPr>
              <w:rFonts w:asciiTheme="majorHAnsi" w:hAnsiTheme="majorHAnsi" w:cstheme="majorHAnsi"/>
              <w:i/>
              <w:iCs/>
              <w:kern w:val="0"/>
            </w:rPr>
            <w:t>The Journal of Head Trauma Rehabilitation</w:t>
          </w:r>
          <w:r w:rsidRPr="00943049">
            <w:rPr>
              <w:rFonts w:asciiTheme="majorHAnsi" w:hAnsiTheme="majorHAnsi" w:cstheme="majorHAnsi"/>
              <w:kern w:val="0"/>
            </w:rPr>
            <w:t xml:space="preserve">, </w:t>
          </w:r>
          <w:r w:rsidRPr="00943049">
            <w:rPr>
              <w:rFonts w:asciiTheme="majorHAnsi" w:hAnsiTheme="majorHAnsi" w:cstheme="majorHAnsi"/>
              <w:i/>
              <w:iCs/>
              <w:kern w:val="0"/>
            </w:rPr>
            <w:t>37</w:t>
          </w:r>
          <w:r w:rsidRPr="00943049">
            <w:rPr>
              <w:rFonts w:asciiTheme="majorHAnsi" w:hAnsiTheme="majorHAnsi" w:cstheme="majorHAnsi"/>
              <w:kern w:val="0"/>
            </w:rPr>
            <w:t>(5), E370–E382. https://doi.org/10.1097/HTR.0000000000000754</w:t>
          </w:r>
        </w:p>
        <w:p w14:paraId="181D8649" w14:textId="0E642B1F" w:rsidR="00895E2F" w:rsidRPr="00943049" w:rsidRDefault="00895E2F" w:rsidP="00943049">
          <w:pPr>
            <w:widowControl w:val="0"/>
            <w:autoSpaceDE w:val="0"/>
            <w:autoSpaceDN w:val="0"/>
            <w:adjustRightInd w:val="0"/>
            <w:ind w:left="720" w:hanging="720"/>
            <w:rPr>
              <w:rFonts w:asciiTheme="majorHAnsi" w:hAnsiTheme="majorHAnsi" w:cstheme="majorHAnsi"/>
            </w:rPr>
          </w:pPr>
          <w:bookmarkStart w:id="121" w:name="_Hlk149642256"/>
          <w:r w:rsidRPr="00943049">
            <w:rPr>
              <w:rFonts w:asciiTheme="majorHAnsi" w:hAnsiTheme="majorHAnsi" w:cstheme="majorHAnsi"/>
            </w:rPr>
            <w:t>Feinberg, R. A., &amp; Wainer, H. (2014). A simple equation to predict a subscore's value. </w:t>
          </w:r>
          <w:r w:rsidRPr="00943049">
            <w:rPr>
              <w:rFonts w:asciiTheme="majorHAnsi" w:hAnsiTheme="majorHAnsi" w:cstheme="majorHAnsi"/>
              <w:i/>
              <w:iCs/>
            </w:rPr>
            <w:t>Educational Measurement: Issues and Practice</w:t>
          </w:r>
          <w:r w:rsidRPr="00943049">
            <w:rPr>
              <w:rFonts w:asciiTheme="majorHAnsi" w:hAnsiTheme="majorHAnsi" w:cstheme="majorHAnsi"/>
            </w:rPr>
            <w:t xml:space="preserve">, </w:t>
          </w:r>
          <w:r w:rsidRPr="00943049">
            <w:rPr>
              <w:rFonts w:asciiTheme="majorHAnsi" w:hAnsiTheme="majorHAnsi" w:cstheme="majorHAnsi"/>
              <w:i/>
              <w:iCs/>
            </w:rPr>
            <w:t>33</w:t>
          </w:r>
          <w:r w:rsidRPr="00943049">
            <w:rPr>
              <w:rFonts w:asciiTheme="majorHAnsi" w:hAnsiTheme="majorHAnsi" w:cstheme="majorHAnsi"/>
            </w:rPr>
            <w:t>(3), 55–56. https://doi.org/10.1111/emip.12035</w:t>
          </w:r>
          <w:bookmarkEnd w:id="121"/>
        </w:p>
        <w:p w14:paraId="7640411E" w14:textId="77777777" w:rsidR="00294565" w:rsidRPr="00943049" w:rsidRDefault="00294565" w:rsidP="00943049">
          <w:pPr>
            <w:pStyle w:val="Bibliography"/>
            <w:rPr>
              <w:rFonts w:asciiTheme="majorHAnsi" w:hAnsiTheme="majorHAnsi" w:cstheme="majorHAnsi"/>
              <w:lang w:val="en-GB"/>
            </w:rPr>
          </w:pPr>
          <w:r w:rsidRPr="00943049">
            <w:rPr>
              <w:rFonts w:asciiTheme="majorHAnsi" w:hAnsiTheme="majorHAnsi" w:cstheme="majorHAnsi"/>
            </w:rPr>
            <w:t xml:space="preserve">Finney, S.J. &amp; DiStefano, C. (2006). Non-normal and Categorical data in structural equation modeling. In G. R. Hancock &amp; R. O. Mueller (Eds.), </w:t>
          </w:r>
          <w:r w:rsidRPr="00943049">
            <w:rPr>
              <w:rFonts w:asciiTheme="majorHAnsi" w:hAnsiTheme="majorHAnsi" w:cstheme="majorHAnsi"/>
              <w:i/>
              <w:iCs/>
            </w:rPr>
            <w:t>Structural equation modeling: a second course</w:t>
          </w:r>
          <w:r w:rsidRPr="00943049">
            <w:rPr>
              <w:rFonts w:asciiTheme="majorHAnsi" w:hAnsiTheme="majorHAnsi" w:cstheme="majorHAnsi"/>
            </w:rPr>
            <w:t xml:space="preserve"> (pp. 269–314). Information Age.</w:t>
          </w:r>
        </w:p>
        <w:p w14:paraId="1A0F185B" w14:textId="77777777" w:rsidR="00294565" w:rsidRPr="00943049" w:rsidRDefault="00294565" w:rsidP="00943049">
          <w:pPr>
            <w:pStyle w:val="Bibliography"/>
            <w:rPr>
              <w:rFonts w:asciiTheme="majorHAnsi" w:hAnsiTheme="majorHAnsi" w:cstheme="majorHAnsi"/>
              <w:lang w:val="en-GB"/>
            </w:rPr>
          </w:pPr>
          <w:r w:rsidRPr="00943049">
            <w:rPr>
              <w:rFonts w:asciiTheme="majorHAnsi" w:hAnsiTheme="majorHAnsi" w:cstheme="majorHAnsi"/>
              <w:lang w:val="en-GB"/>
            </w:rPr>
            <w:t xml:space="preserve">First, M. B., Spitzer, R. L., Gibbon, M., &amp; Williams, J. B. W. (2002). </w:t>
          </w:r>
          <w:r w:rsidRPr="00943049">
            <w:rPr>
              <w:rFonts w:asciiTheme="majorHAnsi" w:hAnsiTheme="majorHAnsi" w:cstheme="majorHAnsi"/>
              <w:i/>
              <w:iCs/>
              <w:lang w:val="en-GB"/>
            </w:rPr>
            <w:t>Structured clinical interview for DSM-IV-TR axis I disorders, research version, patient edition. (SCID-I/P)</w:t>
          </w:r>
          <w:r w:rsidRPr="00943049">
            <w:rPr>
              <w:rFonts w:asciiTheme="majorHAnsi" w:hAnsiTheme="majorHAnsi" w:cstheme="majorHAnsi"/>
              <w:lang w:val="en-GB"/>
            </w:rPr>
            <w:t>. New York: Biometrics Research; New York State Psychiatric Institute.</w:t>
          </w:r>
        </w:p>
        <w:p w14:paraId="31A9B5B4" w14:textId="59CDBA92" w:rsidR="00EB4A16" w:rsidRPr="00943049" w:rsidRDefault="00294565" w:rsidP="00943049">
          <w:pPr>
            <w:pStyle w:val="Bibliography"/>
            <w:rPr>
              <w:rFonts w:asciiTheme="majorHAnsi" w:hAnsiTheme="majorHAnsi" w:cstheme="majorHAnsi"/>
              <w:lang w:val="en-GB"/>
            </w:rPr>
          </w:pPr>
          <w:r w:rsidRPr="00943049">
            <w:rPr>
              <w:rFonts w:asciiTheme="majorHAnsi" w:hAnsiTheme="majorHAnsi" w:cstheme="majorHAnsi"/>
              <w:lang w:val="en-GB"/>
            </w:rPr>
            <w:t xml:space="preserve">Forbes, M. K., Greene, A. L., Levin-Aspenson, H. F., Watts, A. L., Hallquist, M., Lahey, B. B., Markon, K. E., Patrick, C. J., Tackett, J. L., Waldman, I. D., Wright, A. G. C., Caspi, A., Ivanova, M., Kotov, R., Samuel, D. B., Eaton, N. R., &amp; Krueger, R. F. (2021). Three recommendations based on a comparison of the reliability and validity </w:t>
          </w:r>
          <w:r w:rsidRPr="00943049">
            <w:rPr>
              <w:rFonts w:asciiTheme="majorHAnsi" w:hAnsiTheme="majorHAnsi" w:cstheme="majorHAnsi"/>
              <w:lang w:val="en-GB"/>
            </w:rPr>
            <w:lastRenderedPageBreak/>
            <w:t xml:space="preserve">of the predominant models used in research on the empirical structure of psychopathology. </w:t>
          </w:r>
          <w:r w:rsidRPr="00943049">
            <w:rPr>
              <w:rFonts w:asciiTheme="majorHAnsi" w:hAnsiTheme="majorHAnsi" w:cstheme="majorHAnsi"/>
              <w:i/>
              <w:iCs/>
              <w:lang w:val="en-GB"/>
            </w:rPr>
            <w:t>Journal of Abnormal Psychology</w:t>
          </w:r>
          <w:r w:rsidRPr="00943049">
            <w:rPr>
              <w:rFonts w:asciiTheme="majorHAnsi" w:hAnsiTheme="majorHAnsi" w:cstheme="majorHAnsi"/>
              <w:lang w:val="en-GB"/>
            </w:rPr>
            <w:t xml:space="preserve">, </w:t>
          </w:r>
          <w:r w:rsidRPr="00943049">
            <w:rPr>
              <w:rFonts w:asciiTheme="majorHAnsi" w:hAnsiTheme="majorHAnsi" w:cstheme="majorHAnsi"/>
              <w:i/>
              <w:iCs/>
              <w:lang w:val="en-GB"/>
            </w:rPr>
            <w:t>130</w:t>
          </w:r>
          <w:r w:rsidRPr="00943049">
            <w:rPr>
              <w:rFonts w:asciiTheme="majorHAnsi" w:hAnsiTheme="majorHAnsi" w:cstheme="majorHAnsi"/>
              <w:lang w:val="en-GB"/>
            </w:rPr>
            <w:t>(3), 297–317. https://doi.org/10.1037/abn0000533</w:t>
          </w:r>
        </w:p>
        <w:p w14:paraId="4C357AE5" w14:textId="77777777" w:rsidR="00EB4A16" w:rsidRPr="00943049" w:rsidRDefault="00294565" w:rsidP="00943049">
          <w:pPr>
            <w:pStyle w:val="Bibliography"/>
            <w:rPr>
              <w:rStyle w:val="Hyperlink"/>
              <w:rFonts w:asciiTheme="majorHAnsi" w:hAnsiTheme="majorHAnsi" w:cstheme="majorHAnsi"/>
              <w:color w:val="auto"/>
              <w:u w:val="none"/>
              <w:lang w:val="en-GB"/>
            </w:rPr>
          </w:pPr>
          <w:r w:rsidRPr="00943049">
            <w:rPr>
              <w:rFonts w:asciiTheme="majorHAnsi" w:hAnsiTheme="majorHAnsi" w:cstheme="majorHAnsi"/>
              <w:lang w:val="en-GB"/>
            </w:rPr>
            <w:t xml:space="preserve">Gomez, R. (2013). Depression Anxiety Stress Scales: Factor structure and differential item functioning across women and men. </w:t>
          </w:r>
          <w:r w:rsidRPr="00943049">
            <w:rPr>
              <w:rFonts w:asciiTheme="majorHAnsi" w:hAnsiTheme="majorHAnsi" w:cstheme="majorHAnsi"/>
              <w:i/>
              <w:iCs/>
              <w:lang w:val="en-GB"/>
            </w:rPr>
            <w:t>Personality and Individual Differences</w:t>
          </w:r>
          <w:r w:rsidRPr="00943049">
            <w:rPr>
              <w:rFonts w:asciiTheme="majorHAnsi" w:hAnsiTheme="majorHAnsi" w:cstheme="majorHAnsi"/>
              <w:lang w:val="en-GB"/>
            </w:rPr>
            <w:t xml:space="preserve">, </w:t>
          </w:r>
          <w:r w:rsidRPr="00943049">
            <w:rPr>
              <w:rFonts w:asciiTheme="majorHAnsi" w:hAnsiTheme="majorHAnsi" w:cstheme="majorHAnsi"/>
              <w:i/>
              <w:iCs/>
              <w:lang w:val="en-GB"/>
            </w:rPr>
            <w:t>54</w:t>
          </w:r>
          <w:r w:rsidRPr="00943049">
            <w:rPr>
              <w:rFonts w:asciiTheme="majorHAnsi" w:hAnsiTheme="majorHAnsi" w:cstheme="majorHAnsi"/>
              <w:lang w:val="en-GB"/>
            </w:rPr>
            <w:t xml:space="preserve">(6), 687–691. </w:t>
          </w:r>
          <w:hyperlink r:id="rId15" w:history="1">
            <w:r w:rsidRPr="00943049">
              <w:rPr>
                <w:rStyle w:val="Hyperlink"/>
                <w:rFonts w:asciiTheme="majorHAnsi" w:hAnsiTheme="majorHAnsi" w:cstheme="majorHAnsi"/>
                <w:color w:val="auto"/>
                <w:u w:val="none"/>
                <w:lang w:val="en-GB"/>
              </w:rPr>
              <w:t>https://doi.org/10.1016/j.paid.2012.11.025</w:t>
            </w:r>
          </w:hyperlink>
        </w:p>
        <w:p w14:paraId="309F8B99" w14:textId="4EE39F14" w:rsidR="00252484" w:rsidRPr="00252484" w:rsidRDefault="00EB4A16" w:rsidP="00252484">
          <w:pPr>
            <w:pStyle w:val="Bibliography"/>
            <w:rPr>
              <w:rFonts w:asciiTheme="majorHAnsi" w:hAnsiTheme="majorHAnsi" w:cstheme="majorHAnsi"/>
            </w:rPr>
          </w:pPr>
          <w:r w:rsidRPr="00943049">
            <w:rPr>
              <w:rFonts w:asciiTheme="majorHAnsi" w:hAnsiTheme="majorHAnsi" w:cstheme="majorHAnsi"/>
              <w:shd w:val="clear" w:color="auto" w:fill="FFFFFF"/>
            </w:rPr>
            <w:t>Gomez, R., Stavropoulos, V., &amp; Griffiths, M. D. (2020). Confirmatory factor analysis and exploratory structural equation modelling of the factor structure of the Depression Anxiety and Stress Scales-21. </w:t>
          </w:r>
          <w:r w:rsidRPr="00943049">
            <w:rPr>
              <w:rFonts w:asciiTheme="majorHAnsi" w:hAnsiTheme="majorHAnsi" w:cstheme="majorHAnsi"/>
              <w:i/>
              <w:iCs/>
              <w:shd w:val="clear" w:color="auto" w:fill="FFFFFF"/>
            </w:rPr>
            <w:t>PLoS One</w:t>
          </w:r>
          <w:r w:rsidRPr="00943049">
            <w:rPr>
              <w:rFonts w:asciiTheme="majorHAnsi" w:hAnsiTheme="majorHAnsi" w:cstheme="majorHAnsi"/>
              <w:shd w:val="clear" w:color="auto" w:fill="FFFFFF"/>
            </w:rPr>
            <w:t>, </w:t>
          </w:r>
          <w:r w:rsidRPr="00943049">
            <w:rPr>
              <w:rFonts w:asciiTheme="majorHAnsi" w:hAnsiTheme="majorHAnsi" w:cstheme="majorHAnsi"/>
              <w:i/>
              <w:iCs/>
              <w:shd w:val="clear" w:color="auto" w:fill="FFFFFF"/>
            </w:rPr>
            <w:t>15</w:t>
          </w:r>
          <w:r w:rsidRPr="00943049">
            <w:rPr>
              <w:rFonts w:asciiTheme="majorHAnsi" w:hAnsiTheme="majorHAnsi" w:cstheme="majorHAnsi"/>
              <w:shd w:val="clear" w:color="auto" w:fill="FFFFFF"/>
            </w:rPr>
            <w:t xml:space="preserve">(6), e0233998. </w:t>
          </w:r>
          <w:r w:rsidRPr="00943049">
            <w:rPr>
              <w:rFonts w:asciiTheme="majorHAnsi" w:hAnsiTheme="majorHAnsi" w:cstheme="majorHAnsi"/>
            </w:rPr>
            <w:t>https://doi.org/10.1371/journal.pone.0233998</w:t>
          </w:r>
        </w:p>
        <w:p w14:paraId="5139D7DC" w14:textId="77777777" w:rsidR="00294565" w:rsidRPr="00943049" w:rsidRDefault="00294565" w:rsidP="00943049">
          <w:pPr>
            <w:ind w:left="720" w:hanging="720"/>
            <w:rPr>
              <w:rFonts w:asciiTheme="majorHAnsi" w:hAnsiTheme="majorHAnsi" w:cstheme="majorHAnsi"/>
              <w:noProof/>
            </w:rPr>
          </w:pPr>
          <w:r w:rsidRPr="00943049">
            <w:rPr>
              <w:rFonts w:asciiTheme="majorHAnsi" w:hAnsiTheme="majorHAnsi" w:cstheme="majorHAnsi"/>
              <w:noProof/>
            </w:rPr>
            <w:t xml:space="preserve">Gould, K. R., Ponsford, J. L., Johnston, L., &amp; Schönberger, M. (2011a). Relationship between psychiatric disorders and 1-year psychosocial outcome following traumatic brain injury. </w:t>
          </w:r>
          <w:r w:rsidRPr="00943049">
            <w:rPr>
              <w:rFonts w:asciiTheme="majorHAnsi" w:hAnsiTheme="majorHAnsi" w:cstheme="majorHAnsi"/>
              <w:i/>
              <w:noProof/>
            </w:rPr>
            <w:t>The Journal of Head Trauma Rehabilitation</w:t>
          </w:r>
          <w:r w:rsidRPr="00943049">
            <w:rPr>
              <w:rFonts w:asciiTheme="majorHAnsi" w:hAnsiTheme="majorHAnsi" w:cstheme="majorHAnsi"/>
              <w:noProof/>
            </w:rPr>
            <w:t xml:space="preserve">, </w:t>
          </w:r>
          <w:r w:rsidRPr="00943049">
            <w:rPr>
              <w:rFonts w:asciiTheme="majorHAnsi" w:hAnsiTheme="majorHAnsi" w:cstheme="majorHAnsi"/>
              <w:i/>
              <w:noProof/>
            </w:rPr>
            <w:t>26</w:t>
          </w:r>
          <w:r w:rsidRPr="00943049">
            <w:rPr>
              <w:rFonts w:asciiTheme="majorHAnsi" w:hAnsiTheme="majorHAnsi" w:cstheme="majorHAnsi"/>
              <w:noProof/>
            </w:rPr>
            <w:t>(1), 79–89. https://doi.org/10.1097/HTR.0b013e3182036799</w:t>
          </w:r>
        </w:p>
        <w:p w14:paraId="6BFC813C" w14:textId="77777777" w:rsidR="00252484" w:rsidRDefault="00294565" w:rsidP="00252484">
          <w:pPr>
            <w:pStyle w:val="Bibliography"/>
            <w:rPr>
              <w:rStyle w:val="Hyperlink"/>
              <w:rFonts w:asciiTheme="majorHAnsi" w:hAnsiTheme="majorHAnsi" w:cstheme="majorHAnsi"/>
              <w:color w:val="auto"/>
              <w:u w:val="none"/>
              <w:lang w:val="en-GB"/>
            </w:rPr>
          </w:pPr>
          <w:r w:rsidRPr="00943049">
            <w:rPr>
              <w:rFonts w:asciiTheme="majorHAnsi" w:hAnsiTheme="majorHAnsi" w:cstheme="majorHAnsi"/>
              <w:lang w:val="en-GB"/>
            </w:rPr>
            <w:t xml:space="preserve">Gould, K. R., Ponsford, J. L., Johnston, L., &amp; Schönberger, M. (2011b). The nature, frequency and course of psychiatric disorders in the first year after traumatic brain injury: A prospective study. </w:t>
          </w:r>
          <w:r w:rsidRPr="00943049">
            <w:rPr>
              <w:rFonts w:asciiTheme="majorHAnsi" w:hAnsiTheme="majorHAnsi" w:cstheme="majorHAnsi"/>
              <w:i/>
              <w:iCs/>
              <w:lang w:val="en-GB"/>
            </w:rPr>
            <w:t>Psychological Medicine</w:t>
          </w:r>
          <w:r w:rsidRPr="00943049">
            <w:rPr>
              <w:rFonts w:asciiTheme="majorHAnsi" w:hAnsiTheme="majorHAnsi" w:cstheme="majorHAnsi"/>
              <w:lang w:val="en-GB"/>
            </w:rPr>
            <w:t xml:space="preserve">, </w:t>
          </w:r>
          <w:r w:rsidRPr="00943049">
            <w:rPr>
              <w:rFonts w:asciiTheme="majorHAnsi" w:hAnsiTheme="majorHAnsi" w:cstheme="majorHAnsi"/>
              <w:i/>
              <w:iCs/>
              <w:lang w:val="en-GB"/>
            </w:rPr>
            <w:t>41</w:t>
          </w:r>
          <w:r w:rsidRPr="00943049">
            <w:rPr>
              <w:rFonts w:asciiTheme="majorHAnsi" w:hAnsiTheme="majorHAnsi" w:cstheme="majorHAnsi"/>
              <w:lang w:val="en-GB"/>
            </w:rPr>
            <w:t xml:space="preserve">(10), 2099–2109. </w:t>
          </w:r>
          <w:hyperlink r:id="rId16" w:history="1">
            <w:r w:rsidRPr="00943049">
              <w:rPr>
                <w:rStyle w:val="Hyperlink"/>
                <w:rFonts w:asciiTheme="majorHAnsi" w:hAnsiTheme="majorHAnsi" w:cstheme="majorHAnsi"/>
                <w:color w:val="auto"/>
                <w:u w:val="none"/>
                <w:lang w:val="en-GB"/>
              </w:rPr>
              <w:t>https://doi.org/10.1017/S003329171100033X</w:t>
            </w:r>
          </w:hyperlink>
        </w:p>
        <w:p w14:paraId="33FA7EAF" w14:textId="661DC3BA" w:rsidR="00252484" w:rsidRPr="00252484" w:rsidRDefault="00252484" w:rsidP="00252484">
          <w:pPr>
            <w:pStyle w:val="Bibliography"/>
            <w:rPr>
              <w:rFonts w:asciiTheme="majorHAnsi" w:hAnsiTheme="majorHAnsi" w:cstheme="majorHAnsi"/>
              <w:lang w:val="en-GB"/>
            </w:rPr>
          </w:pPr>
          <w:r w:rsidRPr="00252484">
            <w:t xml:space="preserve">Gould, K. R., Ponsford, J. L., &amp; Spitz, G. (2014). Association between cognitive impairments and anxiety disorders following traumatic brain injury. Journal of Clinical and </w:t>
          </w:r>
          <w:r w:rsidRPr="00252484">
            <w:rPr>
              <w:i/>
              <w:iCs/>
            </w:rPr>
            <w:t>Experimental Neuropsychology</w:t>
          </w:r>
          <w:r w:rsidRPr="00252484">
            <w:t xml:space="preserve">, 36(1), 1–14. </w:t>
          </w:r>
          <w:hyperlink r:id="rId17" w:history="1">
            <w:r w:rsidRPr="00252484">
              <w:t>https://doi.org/10.1080/13803395.2013.863832</w:t>
            </w:r>
          </w:hyperlink>
        </w:p>
        <w:p w14:paraId="0471076F" w14:textId="1C39262E" w:rsidR="0045379A" w:rsidRPr="00943049" w:rsidRDefault="0045379A" w:rsidP="00943049">
          <w:pPr>
            <w:widowControl w:val="0"/>
            <w:autoSpaceDE w:val="0"/>
            <w:autoSpaceDN w:val="0"/>
            <w:adjustRightInd w:val="0"/>
            <w:ind w:left="720" w:hanging="720"/>
            <w:rPr>
              <w:rFonts w:asciiTheme="majorHAnsi" w:hAnsiTheme="majorHAnsi" w:cstheme="majorHAnsi"/>
              <w:shd w:val="clear" w:color="auto" w:fill="FFFFFF"/>
            </w:rPr>
          </w:pPr>
          <w:r w:rsidRPr="00943049">
            <w:rPr>
              <w:rFonts w:asciiTheme="majorHAnsi" w:hAnsiTheme="majorHAnsi" w:cstheme="majorHAnsi"/>
              <w:shd w:val="clear" w:color="auto" w:fill="FFFFFF"/>
            </w:rPr>
            <w:t>Gracey, F., Longworth, C., &amp; Psaila, K. (2016). A provisional transdiagnostic cognitive behavioural model of post brain injury emotional adjustment. </w:t>
          </w:r>
          <w:r w:rsidRPr="00943049">
            <w:rPr>
              <w:rFonts w:asciiTheme="majorHAnsi" w:hAnsiTheme="majorHAnsi" w:cstheme="majorHAnsi"/>
              <w:i/>
              <w:iCs/>
              <w:shd w:val="clear" w:color="auto" w:fill="FFFFFF"/>
            </w:rPr>
            <w:t>Neuro-Disability and Psychotherapy</w:t>
          </w:r>
          <w:r w:rsidRPr="00943049">
            <w:rPr>
              <w:rFonts w:asciiTheme="majorHAnsi" w:hAnsiTheme="majorHAnsi" w:cstheme="majorHAnsi"/>
              <w:shd w:val="clear" w:color="auto" w:fill="FFFFFF"/>
            </w:rPr>
            <w:t>, </w:t>
          </w:r>
          <w:r w:rsidRPr="00943049">
            <w:rPr>
              <w:rFonts w:asciiTheme="majorHAnsi" w:hAnsiTheme="majorHAnsi" w:cstheme="majorHAnsi"/>
              <w:i/>
              <w:iCs/>
              <w:shd w:val="clear" w:color="auto" w:fill="FFFFFF"/>
            </w:rPr>
            <w:t>3</w:t>
          </w:r>
          <w:r w:rsidRPr="00943049">
            <w:rPr>
              <w:rFonts w:asciiTheme="majorHAnsi" w:hAnsiTheme="majorHAnsi" w:cstheme="majorHAnsi"/>
              <w:shd w:val="clear" w:color="auto" w:fill="FFFFFF"/>
            </w:rPr>
            <w:t>(2), 154</w:t>
          </w:r>
          <w:r w:rsidRPr="00943049">
            <w:rPr>
              <w:rFonts w:asciiTheme="majorHAnsi" w:hAnsiTheme="majorHAnsi" w:cstheme="majorHAnsi"/>
              <w:kern w:val="0"/>
            </w:rPr>
            <w:t>–</w:t>
          </w:r>
          <w:r w:rsidRPr="00943049">
            <w:rPr>
              <w:rFonts w:asciiTheme="majorHAnsi" w:hAnsiTheme="majorHAnsi" w:cstheme="majorHAnsi"/>
              <w:shd w:val="clear" w:color="auto" w:fill="FFFFFF"/>
            </w:rPr>
            <w:t xml:space="preserve">185. </w:t>
          </w:r>
          <w:r w:rsidRPr="00943049">
            <w:rPr>
              <w:rFonts w:asciiTheme="majorHAnsi" w:hAnsiTheme="majorHAnsi" w:cstheme="majorHAnsi"/>
              <w:shd w:val="clear" w:color="auto" w:fill="FFFFFF"/>
            </w:rPr>
            <w:lastRenderedPageBreak/>
            <w:t>https://www.researchgate.net/publication/303042683_A_provisional_transdiagnostic_cognitive_behavioural_model_of_post_brain_injury_emotional_adjustment</w:t>
          </w:r>
        </w:p>
        <w:p w14:paraId="2C4FD720" w14:textId="77777777" w:rsidR="00294565" w:rsidRPr="00943049" w:rsidRDefault="00294565" w:rsidP="00943049">
          <w:pPr>
            <w:pStyle w:val="Bibliography"/>
            <w:rPr>
              <w:rFonts w:asciiTheme="majorHAnsi" w:hAnsiTheme="majorHAnsi" w:cstheme="majorHAnsi"/>
              <w:lang w:val="en-GB"/>
            </w:rPr>
          </w:pPr>
          <w:r w:rsidRPr="00943049">
            <w:rPr>
              <w:rFonts w:asciiTheme="majorHAnsi" w:hAnsiTheme="majorHAnsi" w:cstheme="majorHAnsi"/>
              <w:lang w:val="en-GB"/>
            </w:rPr>
            <w:t xml:space="preserve">Grauwmeijer, E., Heijenbrok-Kal, M. H., Peppel, L. D., Hartjes, C. J., Haitsma, I. K., de Koning, I., &amp; Ribbers, G. M. (2018). Cognition, health-related quality of life, and depression ten years after moderate to severe traumatic brain injury: A prospective cohort study. </w:t>
          </w:r>
          <w:r w:rsidRPr="00943049">
            <w:rPr>
              <w:rFonts w:asciiTheme="majorHAnsi" w:hAnsiTheme="majorHAnsi" w:cstheme="majorHAnsi"/>
              <w:i/>
              <w:iCs/>
              <w:lang w:val="en-GB"/>
            </w:rPr>
            <w:t>Journal of Neurotrauma</w:t>
          </w:r>
          <w:r w:rsidRPr="00943049">
            <w:rPr>
              <w:rFonts w:asciiTheme="majorHAnsi" w:hAnsiTheme="majorHAnsi" w:cstheme="majorHAnsi"/>
              <w:lang w:val="en-GB"/>
            </w:rPr>
            <w:t xml:space="preserve">, </w:t>
          </w:r>
          <w:r w:rsidRPr="00943049">
            <w:rPr>
              <w:rFonts w:asciiTheme="majorHAnsi" w:hAnsiTheme="majorHAnsi" w:cstheme="majorHAnsi"/>
              <w:i/>
              <w:iCs/>
              <w:lang w:val="en-GB"/>
            </w:rPr>
            <w:t>35</w:t>
          </w:r>
          <w:r w:rsidRPr="00943049">
            <w:rPr>
              <w:rFonts w:asciiTheme="majorHAnsi" w:hAnsiTheme="majorHAnsi" w:cstheme="majorHAnsi"/>
              <w:lang w:val="en-GB"/>
            </w:rPr>
            <w:t>(13), 1543–1551. https://doi.org/10.1089/neu.2017.5404</w:t>
          </w:r>
        </w:p>
        <w:p w14:paraId="02731B16" w14:textId="643B7E89" w:rsidR="0045379A" w:rsidRPr="00943049" w:rsidRDefault="0045379A" w:rsidP="00943049">
          <w:pPr>
            <w:widowControl w:val="0"/>
            <w:autoSpaceDE w:val="0"/>
            <w:autoSpaceDN w:val="0"/>
            <w:adjustRightInd w:val="0"/>
            <w:ind w:left="720" w:hanging="720"/>
            <w:rPr>
              <w:rFonts w:asciiTheme="majorHAnsi" w:hAnsiTheme="majorHAnsi" w:cstheme="majorHAnsi"/>
            </w:rPr>
          </w:pPr>
          <w:r w:rsidRPr="00943049">
            <w:rPr>
              <w:rFonts w:asciiTheme="majorHAnsi" w:hAnsiTheme="majorHAnsi" w:cstheme="majorHAnsi"/>
            </w:rPr>
            <w:t>Greene, A. L., Eaton, N. R., Li, K., Forbes, M. K., Krueger, R. F., Markon, K. E., Waldman, I. D., Cicero, D. C., Conway, C. C., Docherty, A. R., Fried, E. I., Ivanova, M. Y., Jonas, K. G., Latzman, R. D., Patrick, C. J., Reininghaus, U., Tackett, J. L., Wright, A. G. C., &amp; Kotov, R. (2019). Are fit indices used to test psychopathology structure biased? A simulation study. </w:t>
          </w:r>
          <w:r w:rsidRPr="00943049">
            <w:rPr>
              <w:rFonts w:asciiTheme="majorHAnsi" w:hAnsiTheme="majorHAnsi" w:cstheme="majorHAnsi"/>
              <w:i/>
              <w:iCs/>
            </w:rPr>
            <w:t>Journal of Abnormal Psychology</w:t>
          </w:r>
          <w:r w:rsidRPr="00943049">
            <w:rPr>
              <w:rFonts w:asciiTheme="majorHAnsi" w:hAnsiTheme="majorHAnsi" w:cstheme="majorHAnsi"/>
            </w:rPr>
            <w:t>, </w:t>
          </w:r>
          <w:r w:rsidRPr="00943049">
            <w:rPr>
              <w:rFonts w:asciiTheme="majorHAnsi" w:hAnsiTheme="majorHAnsi" w:cstheme="majorHAnsi"/>
              <w:i/>
              <w:iCs/>
            </w:rPr>
            <w:t>128</w:t>
          </w:r>
          <w:r w:rsidRPr="00943049">
            <w:rPr>
              <w:rFonts w:asciiTheme="majorHAnsi" w:hAnsiTheme="majorHAnsi" w:cstheme="majorHAnsi"/>
            </w:rPr>
            <w:t>(7), 740–764. https://doi.org/10.1037/abn0000434</w:t>
          </w:r>
        </w:p>
        <w:p w14:paraId="0DFCA1F9" w14:textId="77777777" w:rsidR="00294565" w:rsidRPr="00943049" w:rsidRDefault="00294565" w:rsidP="00943049">
          <w:pPr>
            <w:pStyle w:val="Bibliography"/>
            <w:rPr>
              <w:rFonts w:asciiTheme="majorHAnsi" w:hAnsiTheme="majorHAnsi" w:cstheme="majorHAnsi"/>
              <w:shd w:val="clear" w:color="auto" w:fill="FFFFFF"/>
            </w:rPr>
          </w:pPr>
          <w:r w:rsidRPr="00943049">
            <w:rPr>
              <w:rFonts w:asciiTheme="majorHAnsi" w:hAnsiTheme="majorHAnsi" w:cstheme="majorHAnsi"/>
              <w:shd w:val="clear" w:color="auto" w:fill="FFFFFF"/>
            </w:rPr>
            <w:t>Greene, A. L., Watts, A. L., Forbes, M. K., Kotov, R., Krueger, R. F., &amp; Eaton, N. R. (2022). Misbegotten methodologies and forgotten lessons from Tom Swift’s electric factor analysis machine: A demonstration with competing structural models of psychopathology. </w:t>
          </w:r>
          <w:r w:rsidRPr="00943049">
            <w:rPr>
              <w:rFonts w:asciiTheme="majorHAnsi" w:hAnsiTheme="majorHAnsi" w:cstheme="majorHAnsi"/>
              <w:i/>
              <w:iCs/>
              <w:shd w:val="clear" w:color="auto" w:fill="FFFFFF"/>
            </w:rPr>
            <w:t>Psychological Methods</w:t>
          </w:r>
          <w:r w:rsidRPr="00943049">
            <w:rPr>
              <w:rFonts w:asciiTheme="majorHAnsi" w:hAnsiTheme="majorHAnsi" w:cstheme="majorHAnsi"/>
              <w:shd w:val="clear" w:color="auto" w:fill="FFFFFF"/>
            </w:rPr>
            <w:t>. Advanced online publication. https://doi.org/10.1037/met0000465</w:t>
          </w:r>
        </w:p>
        <w:p w14:paraId="25684C20" w14:textId="54DCF750" w:rsidR="0045379A" w:rsidRPr="00943049" w:rsidRDefault="0045379A" w:rsidP="00943049">
          <w:pPr>
            <w:widowControl w:val="0"/>
            <w:autoSpaceDE w:val="0"/>
            <w:autoSpaceDN w:val="0"/>
            <w:adjustRightInd w:val="0"/>
            <w:ind w:left="720" w:hanging="720"/>
            <w:rPr>
              <w:rFonts w:asciiTheme="majorHAnsi" w:hAnsiTheme="majorHAnsi" w:cstheme="majorHAnsi"/>
              <w:kern w:val="0"/>
            </w:rPr>
          </w:pPr>
          <w:r w:rsidRPr="00943049">
            <w:rPr>
              <w:rFonts w:asciiTheme="majorHAnsi" w:hAnsiTheme="majorHAnsi" w:cstheme="majorHAnsi"/>
              <w:kern w:val="0"/>
            </w:rPr>
            <w:t xml:space="preserve">Hankin, B. L., Snyder, H. R., Gulley, L. D., Schweizer, T. H., Bijttebier, P., Nelis, S., Toh, G., &amp; Vasey, M. W. (2016). Understanding comorbidity among internalizing problems: Integrating latent structural models of psychopathology and risk mechanisms. </w:t>
          </w:r>
          <w:r w:rsidRPr="00943049">
            <w:rPr>
              <w:rFonts w:asciiTheme="majorHAnsi" w:hAnsiTheme="majorHAnsi" w:cstheme="majorHAnsi"/>
              <w:i/>
              <w:iCs/>
              <w:kern w:val="0"/>
            </w:rPr>
            <w:t>Development and Psychopathology</w:t>
          </w:r>
          <w:r w:rsidRPr="00943049">
            <w:rPr>
              <w:rFonts w:asciiTheme="majorHAnsi" w:hAnsiTheme="majorHAnsi" w:cstheme="majorHAnsi"/>
              <w:kern w:val="0"/>
            </w:rPr>
            <w:t xml:space="preserve">, </w:t>
          </w:r>
          <w:r w:rsidRPr="00943049">
            <w:rPr>
              <w:rFonts w:asciiTheme="majorHAnsi" w:hAnsiTheme="majorHAnsi" w:cstheme="majorHAnsi"/>
              <w:i/>
              <w:iCs/>
              <w:kern w:val="0"/>
            </w:rPr>
            <w:t>28</w:t>
          </w:r>
          <w:r w:rsidRPr="00943049">
            <w:rPr>
              <w:rFonts w:asciiTheme="majorHAnsi" w:hAnsiTheme="majorHAnsi" w:cstheme="majorHAnsi"/>
              <w:kern w:val="0"/>
            </w:rPr>
            <w:t>(4pt1), 987–1012. https://doi.org/10.1017/S0954579416000663</w:t>
          </w:r>
        </w:p>
        <w:p w14:paraId="2FDE7B8A" w14:textId="77777777" w:rsidR="00294565" w:rsidRPr="00943049" w:rsidRDefault="00294565" w:rsidP="00943049">
          <w:pPr>
            <w:pStyle w:val="Bibliography"/>
            <w:rPr>
              <w:rFonts w:asciiTheme="majorHAnsi" w:hAnsiTheme="majorHAnsi" w:cstheme="majorHAnsi"/>
              <w:shd w:val="clear" w:color="auto" w:fill="FFFFFF"/>
            </w:rPr>
          </w:pPr>
          <w:r w:rsidRPr="00943049">
            <w:rPr>
              <w:rFonts w:asciiTheme="majorHAnsi" w:hAnsiTheme="majorHAnsi" w:cstheme="majorHAnsi"/>
              <w:shd w:val="clear" w:color="auto" w:fill="FFFFFF"/>
            </w:rPr>
            <w:t xml:space="preserve">Hart, T., Hoffman, J. M., Pretz, C., Kennedy, R., Clark, A. N., &amp; Brenner, L. A. (2012). A longitudinal study of major and minor depression following traumatic brain </w:t>
          </w:r>
          <w:r w:rsidRPr="00943049">
            <w:rPr>
              <w:rFonts w:asciiTheme="majorHAnsi" w:hAnsiTheme="majorHAnsi" w:cstheme="majorHAnsi"/>
              <w:shd w:val="clear" w:color="auto" w:fill="FFFFFF"/>
            </w:rPr>
            <w:lastRenderedPageBreak/>
            <w:t>injury. </w:t>
          </w:r>
          <w:r w:rsidRPr="00943049">
            <w:rPr>
              <w:rFonts w:asciiTheme="majorHAnsi" w:hAnsiTheme="majorHAnsi" w:cstheme="majorHAnsi"/>
              <w:i/>
              <w:iCs/>
              <w:shd w:val="clear" w:color="auto" w:fill="FFFFFF"/>
            </w:rPr>
            <w:t>Archives of Physical Medicine and Rehabilitation</w:t>
          </w:r>
          <w:r w:rsidRPr="00943049">
            <w:rPr>
              <w:rFonts w:asciiTheme="majorHAnsi" w:hAnsiTheme="majorHAnsi" w:cstheme="majorHAnsi"/>
              <w:shd w:val="clear" w:color="auto" w:fill="FFFFFF"/>
            </w:rPr>
            <w:t>, </w:t>
          </w:r>
          <w:r w:rsidRPr="00943049">
            <w:rPr>
              <w:rFonts w:asciiTheme="majorHAnsi" w:hAnsiTheme="majorHAnsi" w:cstheme="majorHAnsi"/>
              <w:i/>
              <w:iCs/>
              <w:shd w:val="clear" w:color="auto" w:fill="FFFFFF"/>
            </w:rPr>
            <w:t>93</w:t>
          </w:r>
          <w:r w:rsidRPr="00943049">
            <w:rPr>
              <w:rFonts w:asciiTheme="majorHAnsi" w:hAnsiTheme="majorHAnsi" w:cstheme="majorHAnsi"/>
              <w:shd w:val="clear" w:color="auto" w:fill="FFFFFF"/>
            </w:rPr>
            <w:t>(8), 1343</w:t>
          </w:r>
          <w:r w:rsidRPr="00943049">
            <w:rPr>
              <w:rFonts w:asciiTheme="majorHAnsi" w:hAnsiTheme="majorHAnsi" w:cstheme="majorHAnsi"/>
              <w:lang w:val="en-GB"/>
            </w:rPr>
            <w:t>–</w:t>
          </w:r>
          <w:r w:rsidRPr="00943049">
            <w:rPr>
              <w:rFonts w:asciiTheme="majorHAnsi" w:hAnsiTheme="majorHAnsi" w:cstheme="majorHAnsi"/>
              <w:shd w:val="clear" w:color="auto" w:fill="FFFFFF"/>
            </w:rPr>
            <w:t xml:space="preserve">1349. </w:t>
          </w:r>
          <w:hyperlink r:id="rId18" w:tgtFrame="_blank" w:tooltip="Persistent link using digital object identifier" w:history="1">
            <w:r w:rsidRPr="00943049">
              <w:rPr>
                <w:rStyle w:val="anchor-text"/>
                <w:rFonts w:asciiTheme="majorHAnsi" w:hAnsiTheme="majorHAnsi" w:cstheme="majorHAnsi"/>
              </w:rPr>
              <w:t>https://doi.org/10.1016/j.apmr.2012.03.036</w:t>
            </w:r>
          </w:hyperlink>
        </w:p>
        <w:p w14:paraId="05362BD0" w14:textId="77777777" w:rsidR="00294565" w:rsidRPr="00943049" w:rsidRDefault="00294565" w:rsidP="00943049">
          <w:pPr>
            <w:pStyle w:val="Bibliography"/>
            <w:rPr>
              <w:rFonts w:asciiTheme="majorHAnsi" w:hAnsiTheme="majorHAnsi" w:cstheme="majorHAnsi"/>
              <w:lang w:val="en-GB"/>
            </w:rPr>
          </w:pPr>
          <w:r w:rsidRPr="00943049">
            <w:rPr>
              <w:rFonts w:asciiTheme="majorHAnsi" w:hAnsiTheme="majorHAnsi" w:cstheme="majorHAnsi"/>
              <w:lang w:val="en-GB"/>
            </w:rPr>
            <w:t xml:space="preserve">Henry, J. D., &amp; Crawford, J. R. (2005). The short-form version of the Depression Anxiety Stress Scales (DASS21): Construct validity and normative data in a large non-clinical sample. </w:t>
          </w:r>
          <w:r w:rsidRPr="00943049">
            <w:rPr>
              <w:rFonts w:asciiTheme="majorHAnsi" w:hAnsiTheme="majorHAnsi" w:cstheme="majorHAnsi"/>
              <w:i/>
              <w:iCs/>
              <w:lang w:val="en-GB"/>
            </w:rPr>
            <w:t>British Journal of Clinical Psychology</w:t>
          </w:r>
          <w:r w:rsidRPr="00943049">
            <w:rPr>
              <w:rFonts w:asciiTheme="majorHAnsi" w:hAnsiTheme="majorHAnsi" w:cstheme="majorHAnsi"/>
              <w:lang w:val="en-GB"/>
            </w:rPr>
            <w:t xml:space="preserve">, </w:t>
          </w:r>
          <w:r w:rsidRPr="00943049">
            <w:rPr>
              <w:rFonts w:asciiTheme="majorHAnsi" w:hAnsiTheme="majorHAnsi" w:cstheme="majorHAnsi"/>
              <w:i/>
              <w:iCs/>
              <w:lang w:val="en-GB"/>
            </w:rPr>
            <w:t>44</w:t>
          </w:r>
          <w:r w:rsidRPr="00943049">
            <w:rPr>
              <w:rFonts w:asciiTheme="majorHAnsi" w:hAnsiTheme="majorHAnsi" w:cstheme="majorHAnsi"/>
              <w:lang w:val="en-GB"/>
            </w:rPr>
            <w:t>(2), 227–239. https://doi.org/10.1348/014466505X29657</w:t>
          </w:r>
        </w:p>
        <w:p w14:paraId="2468438F" w14:textId="77777777" w:rsidR="0045379A" w:rsidRPr="00943049" w:rsidRDefault="00294565" w:rsidP="00943049">
          <w:pPr>
            <w:pStyle w:val="Bibliography"/>
            <w:rPr>
              <w:rFonts w:asciiTheme="majorHAnsi" w:hAnsiTheme="majorHAnsi" w:cstheme="majorHAnsi"/>
              <w:shd w:val="clear" w:color="auto" w:fill="FFFFFF"/>
            </w:rPr>
          </w:pPr>
          <w:r w:rsidRPr="00943049">
            <w:rPr>
              <w:rFonts w:asciiTheme="majorHAnsi" w:hAnsiTheme="majorHAnsi" w:cstheme="majorHAnsi"/>
              <w:lang w:val="en-GB"/>
            </w:rPr>
            <w:t xml:space="preserve">Hu, L., &amp; Bentler, P. M. (1999). Cutoff criteria for fit indexes in covariance structure analysis: Conventional criteria versus new alternatives. </w:t>
          </w:r>
          <w:r w:rsidRPr="00943049">
            <w:rPr>
              <w:rFonts w:asciiTheme="majorHAnsi" w:hAnsiTheme="majorHAnsi" w:cstheme="majorHAnsi"/>
              <w:i/>
              <w:iCs/>
              <w:lang w:val="en-GB"/>
            </w:rPr>
            <w:t>Structural Equation Modeling: A Multidisciplinary Journal</w:t>
          </w:r>
          <w:r w:rsidRPr="00943049">
            <w:rPr>
              <w:rFonts w:asciiTheme="majorHAnsi" w:hAnsiTheme="majorHAnsi" w:cstheme="majorHAnsi"/>
              <w:lang w:val="en-GB"/>
            </w:rPr>
            <w:t xml:space="preserve">, </w:t>
          </w:r>
          <w:r w:rsidRPr="00943049">
            <w:rPr>
              <w:rFonts w:asciiTheme="majorHAnsi" w:hAnsiTheme="majorHAnsi" w:cstheme="majorHAnsi"/>
              <w:i/>
              <w:iCs/>
              <w:lang w:val="en-GB"/>
            </w:rPr>
            <w:t>6</w:t>
          </w:r>
          <w:r w:rsidRPr="00943049">
            <w:rPr>
              <w:rFonts w:asciiTheme="majorHAnsi" w:hAnsiTheme="majorHAnsi" w:cstheme="majorHAnsi"/>
              <w:lang w:val="en-GB"/>
            </w:rPr>
            <w:t>(1), 1–55. https://doi.org/10.1080/10705519909540118</w:t>
          </w:r>
          <w:r w:rsidR="0045379A" w:rsidRPr="00943049">
            <w:rPr>
              <w:rFonts w:asciiTheme="majorHAnsi" w:hAnsiTheme="majorHAnsi" w:cstheme="majorHAnsi"/>
              <w:shd w:val="clear" w:color="auto" w:fill="FFFFFF"/>
            </w:rPr>
            <w:t xml:space="preserve"> </w:t>
          </w:r>
        </w:p>
        <w:p w14:paraId="10456F4D" w14:textId="309612E8" w:rsidR="0045379A" w:rsidRPr="00943049" w:rsidRDefault="0045379A" w:rsidP="00943049">
          <w:pPr>
            <w:widowControl w:val="0"/>
            <w:autoSpaceDE w:val="0"/>
            <w:autoSpaceDN w:val="0"/>
            <w:adjustRightInd w:val="0"/>
            <w:ind w:left="720" w:hanging="720"/>
            <w:rPr>
              <w:rFonts w:asciiTheme="majorHAnsi" w:hAnsiTheme="majorHAnsi" w:cstheme="majorHAnsi"/>
              <w:kern w:val="0"/>
            </w:rPr>
          </w:pPr>
          <w:r w:rsidRPr="00943049">
            <w:rPr>
              <w:rFonts w:asciiTheme="majorHAnsi" w:hAnsiTheme="majorHAnsi" w:cstheme="majorHAnsi"/>
              <w:kern w:val="0"/>
            </w:rPr>
            <w:t xml:space="preserve">Huey, E. D., Lee, S., Lieberman, J. A., Devanand, D. P., Brickman, A. M., Raymont, V., Krueger, F., &amp; Grafman, J. (2016). Brain Regions Associated With Internalizing and Externalizing Psychiatric Symptoms in Patients With Penetrating Traumatic Brain Injury. </w:t>
          </w:r>
          <w:r w:rsidRPr="00943049">
            <w:rPr>
              <w:rFonts w:asciiTheme="majorHAnsi" w:hAnsiTheme="majorHAnsi" w:cstheme="majorHAnsi"/>
              <w:i/>
              <w:iCs/>
              <w:kern w:val="0"/>
            </w:rPr>
            <w:t>The Journal of Neuropsychiatry and Clinical Neurosciences</w:t>
          </w:r>
          <w:r w:rsidRPr="00943049">
            <w:rPr>
              <w:rFonts w:asciiTheme="majorHAnsi" w:hAnsiTheme="majorHAnsi" w:cstheme="majorHAnsi"/>
              <w:kern w:val="0"/>
            </w:rPr>
            <w:t xml:space="preserve">, </w:t>
          </w:r>
          <w:r w:rsidRPr="00943049">
            <w:rPr>
              <w:rFonts w:asciiTheme="majorHAnsi" w:hAnsiTheme="majorHAnsi" w:cstheme="majorHAnsi"/>
              <w:i/>
              <w:iCs/>
              <w:kern w:val="0"/>
            </w:rPr>
            <w:t>28</w:t>
          </w:r>
          <w:r w:rsidRPr="00943049">
            <w:rPr>
              <w:rFonts w:asciiTheme="majorHAnsi" w:hAnsiTheme="majorHAnsi" w:cstheme="majorHAnsi"/>
              <w:kern w:val="0"/>
            </w:rPr>
            <w:t>(2), 104–111. https://doi.org/10.1176/appi.neuropsych.15060150</w:t>
          </w:r>
        </w:p>
        <w:p w14:paraId="56A16298" w14:textId="77777777" w:rsidR="00EB4A16" w:rsidRPr="00943049" w:rsidRDefault="0045379A" w:rsidP="00943049">
          <w:pPr>
            <w:pStyle w:val="Bibliography"/>
            <w:rPr>
              <w:rFonts w:asciiTheme="majorHAnsi" w:hAnsiTheme="majorHAnsi" w:cstheme="majorHAnsi"/>
              <w:shd w:val="clear" w:color="auto" w:fill="FFFFFF"/>
            </w:rPr>
          </w:pPr>
          <w:r w:rsidRPr="00943049">
            <w:rPr>
              <w:rFonts w:asciiTheme="majorHAnsi" w:hAnsiTheme="majorHAnsi" w:cstheme="majorHAnsi"/>
              <w:shd w:val="clear" w:color="auto" w:fill="FFFFFF"/>
            </w:rPr>
            <w:t>Insel, T., Cuthbert, B., Garvey, M., Heinssen, R., Pine, D. S., Quinn, K., Sanislow, C., &amp; Wang, P. (2010). Research domain criteria (RDoC): toward a new classification framework for research on mental disorders. </w:t>
          </w:r>
          <w:r w:rsidRPr="00943049">
            <w:rPr>
              <w:rFonts w:asciiTheme="majorHAnsi" w:hAnsiTheme="majorHAnsi" w:cstheme="majorHAnsi"/>
              <w:i/>
              <w:iCs/>
              <w:shd w:val="clear" w:color="auto" w:fill="FFFFFF"/>
            </w:rPr>
            <w:t>American Journal of Psychiatry</w:t>
          </w:r>
          <w:r w:rsidRPr="00943049">
            <w:rPr>
              <w:rFonts w:asciiTheme="majorHAnsi" w:hAnsiTheme="majorHAnsi" w:cstheme="majorHAnsi"/>
              <w:shd w:val="clear" w:color="auto" w:fill="FFFFFF"/>
            </w:rPr>
            <w:t>, </w:t>
          </w:r>
          <w:r w:rsidRPr="00943049">
            <w:rPr>
              <w:rFonts w:asciiTheme="majorHAnsi" w:hAnsiTheme="majorHAnsi" w:cstheme="majorHAnsi"/>
              <w:i/>
              <w:iCs/>
              <w:shd w:val="clear" w:color="auto" w:fill="FFFFFF"/>
            </w:rPr>
            <w:t>167</w:t>
          </w:r>
          <w:r w:rsidRPr="00943049">
            <w:rPr>
              <w:rFonts w:asciiTheme="majorHAnsi" w:hAnsiTheme="majorHAnsi" w:cstheme="majorHAnsi"/>
              <w:shd w:val="clear" w:color="auto" w:fill="FFFFFF"/>
            </w:rPr>
            <w:t>(7), 748</w:t>
          </w:r>
          <w:r w:rsidRPr="00943049">
            <w:rPr>
              <w:rFonts w:asciiTheme="majorHAnsi" w:hAnsiTheme="majorHAnsi" w:cstheme="majorHAnsi"/>
              <w:lang w:val="en-GB"/>
            </w:rPr>
            <w:t>–</w:t>
          </w:r>
          <w:r w:rsidRPr="00943049">
            <w:rPr>
              <w:rFonts w:asciiTheme="majorHAnsi" w:hAnsiTheme="majorHAnsi" w:cstheme="majorHAnsi"/>
              <w:shd w:val="clear" w:color="auto" w:fill="FFFFFF"/>
            </w:rPr>
            <w:t>751. https://doi.org/10.1176/appi.ajp.2010.09091379</w:t>
          </w:r>
        </w:p>
        <w:p w14:paraId="4A59BC7F" w14:textId="3063C692" w:rsidR="00EB4A16" w:rsidRPr="00943049" w:rsidRDefault="00EB4A16" w:rsidP="00943049">
          <w:pPr>
            <w:pStyle w:val="Bibliography"/>
            <w:rPr>
              <w:rFonts w:asciiTheme="majorHAnsi" w:hAnsiTheme="majorHAnsi" w:cstheme="majorHAnsi"/>
              <w:shd w:val="clear" w:color="auto" w:fill="FFFFFF"/>
            </w:rPr>
          </w:pPr>
          <w:r w:rsidRPr="00943049">
            <w:rPr>
              <w:rFonts w:asciiTheme="majorHAnsi" w:hAnsiTheme="majorHAnsi" w:cstheme="majorHAnsi"/>
              <w:shd w:val="clear" w:color="auto" w:fill="FFFFFF"/>
            </w:rPr>
            <w:t>Jovanović, V., Gavrilov-Jerković, V., &amp; Lazić, M. (2021). Can adolescents differentiate between depression, anxiety and stress? testing competing models of the depression anxiety stress scales (DASS-21). </w:t>
          </w:r>
          <w:r w:rsidRPr="00943049">
            <w:rPr>
              <w:rFonts w:asciiTheme="majorHAnsi" w:hAnsiTheme="majorHAnsi" w:cstheme="majorHAnsi"/>
              <w:i/>
              <w:iCs/>
              <w:shd w:val="clear" w:color="auto" w:fill="FFFFFF"/>
            </w:rPr>
            <w:t>Current Psychology</w:t>
          </w:r>
          <w:r w:rsidRPr="00943049">
            <w:rPr>
              <w:rFonts w:asciiTheme="majorHAnsi" w:hAnsiTheme="majorHAnsi" w:cstheme="majorHAnsi"/>
              <w:shd w:val="clear" w:color="auto" w:fill="FFFFFF"/>
            </w:rPr>
            <w:t>, </w:t>
          </w:r>
          <w:r w:rsidRPr="00943049">
            <w:rPr>
              <w:rFonts w:asciiTheme="majorHAnsi" w:hAnsiTheme="majorHAnsi" w:cstheme="majorHAnsi"/>
              <w:i/>
              <w:iCs/>
              <w:shd w:val="clear" w:color="auto" w:fill="FFFFFF"/>
            </w:rPr>
            <w:t>40</w:t>
          </w:r>
          <w:r w:rsidRPr="00943049">
            <w:rPr>
              <w:rFonts w:asciiTheme="majorHAnsi" w:hAnsiTheme="majorHAnsi" w:cstheme="majorHAnsi"/>
              <w:shd w:val="clear" w:color="auto" w:fill="FFFFFF"/>
            </w:rPr>
            <w:t>, 6045</w:t>
          </w:r>
          <w:r w:rsidRPr="00943049">
            <w:rPr>
              <w:rFonts w:asciiTheme="majorHAnsi" w:hAnsiTheme="majorHAnsi" w:cstheme="majorHAnsi"/>
              <w:lang w:val="en-GB"/>
            </w:rPr>
            <w:t>–</w:t>
          </w:r>
          <w:r w:rsidRPr="00943049">
            <w:rPr>
              <w:rFonts w:asciiTheme="majorHAnsi" w:hAnsiTheme="majorHAnsi" w:cstheme="majorHAnsi"/>
              <w:shd w:val="clear" w:color="auto" w:fill="FFFFFF"/>
            </w:rPr>
            <w:t xml:space="preserve">6056. </w:t>
          </w:r>
          <w:r w:rsidRPr="00943049">
            <w:rPr>
              <w:rFonts w:asciiTheme="majorHAnsi" w:hAnsiTheme="majorHAnsi" w:cstheme="majorHAnsi"/>
              <w:kern w:val="0"/>
              <w:lang w:val="en-AU"/>
            </w:rPr>
            <w:t>https://doi.org/10.1007/s12144-019-00540-2</w:t>
          </w:r>
        </w:p>
        <w:p w14:paraId="0D299A43" w14:textId="77777777" w:rsidR="00EB4A16" w:rsidRPr="00943049" w:rsidRDefault="00294565" w:rsidP="00943049">
          <w:pPr>
            <w:pStyle w:val="Bibliography"/>
            <w:rPr>
              <w:rStyle w:val="Hyperlink"/>
              <w:rFonts w:asciiTheme="majorHAnsi" w:hAnsiTheme="majorHAnsi" w:cstheme="majorHAnsi"/>
              <w:color w:val="auto"/>
              <w:u w:val="none"/>
              <w:lang w:val="en-GB"/>
            </w:rPr>
          </w:pPr>
          <w:r w:rsidRPr="00943049">
            <w:rPr>
              <w:rFonts w:asciiTheme="majorHAnsi" w:hAnsiTheme="majorHAnsi" w:cstheme="majorHAnsi"/>
              <w:lang w:val="en-GB"/>
            </w:rPr>
            <w:t xml:space="preserve">Kia-Keating, M., No, U., Moore, S., Furlong, M. J., Liu, S., &amp; You, S. (2018). Structural validity of the Depression, Anxiety, and Stress Scales-21 adapted for U.S. </w:t>
          </w:r>
          <w:r w:rsidRPr="00943049">
            <w:rPr>
              <w:rFonts w:asciiTheme="majorHAnsi" w:hAnsiTheme="majorHAnsi" w:cstheme="majorHAnsi"/>
              <w:lang w:val="en-GB"/>
            </w:rPr>
            <w:lastRenderedPageBreak/>
            <w:t xml:space="preserve">undergraduates. </w:t>
          </w:r>
          <w:r w:rsidRPr="00943049">
            <w:rPr>
              <w:rFonts w:asciiTheme="majorHAnsi" w:hAnsiTheme="majorHAnsi" w:cstheme="majorHAnsi"/>
              <w:i/>
              <w:iCs/>
              <w:lang w:val="en-GB"/>
            </w:rPr>
            <w:t>Emerging Adulthood</w:t>
          </w:r>
          <w:r w:rsidRPr="00943049">
            <w:rPr>
              <w:rFonts w:asciiTheme="majorHAnsi" w:hAnsiTheme="majorHAnsi" w:cstheme="majorHAnsi"/>
              <w:lang w:val="en-GB"/>
            </w:rPr>
            <w:t xml:space="preserve">, </w:t>
          </w:r>
          <w:r w:rsidRPr="00943049">
            <w:rPr>
              <w:rFonts w:asciiTheme="majorHAnsi" w:hAnsiTheme="majorHAnsi" w:cstheme="majorHAnsi"/>
              <w:i/>
              <w:iCs/>
              <w:lang w:val="en-GB"/>
            </w:rPr>
            <w:t>6</w:t>
          </w:r>
          <w:r w:rsidRPr="00943049">
            <w:rPr>
              <w:rFonts w:asciiTheme="majorHAnsi" w:hAnsiTheme="majorHAnsi" w:cstheme="majorHAnsi"/>
              <w:lang w:val="en-GB"/>
            </w:rPr>
            <w:t xml:space="preserve">(6), 434–440. </w:t>
          </w:r>
          <w:hyperlink r:id="rId19" w:history="1">
            <w:r w:rsidRPr="00943049">
              <w:rPr>
                <w:rStyle w:val="Hyperlink"/>
                <w:rFonts w:asciiTheme="majorHAnsi" w:hAnsiTheme="majorHAnsi" w:cstheme="majorHAnsi"/>
                <w:color w:val="auto"/>
                <w:u w:val="none"/>
                <w:lang w:val="en-GB"/>
              </w:rPr>
              <w:t>https://doi.org/10.1177/2167696817745407</w:t>
            </w:r>
          </w:hyperlink>
        </w:p>
        <w:p w14:paraId="008C5650" w14:textId="3933A40F" w:rsidR="00EB4A16" w:rsidRPr="00943049" w:rsidRDefault="00EB4A16" w:rsidP="00943049">
          <w:pPr>
            <w:pStyle w:val="Bibliography"/>
            <w:rPr>
              <w:rFonts w:asciiTheme="majorHAnsi" w:hAnsiTheme="majorHAnsi" w:cstheme="majorHAnsi"/>
              <w:lang w:val="en-GB"/>
            </w:rPr>
          </w:pPr>
          <w:proofErr w:type="spellStart"/>
          <w:r w:rsidRPr="00943049">
            <w:rPr>
              <w:rFonts w:asciiTheme="majorHAnsi" w:hAnsiTheme="majorHAnsi" w:cstheme="majorHAnsi"/>
              <w:shd w:val="clear" w:color="auto" w:fill="FFFFFF"/>
            </w:rPr>
            <w:t>Koğar</w:t>
          </w:r>
          <w:proofErr w:type="spellEnd"/>
          <w:r w:rsidRPr="00943049">
            <w:rPr>
              <w:rFonts w:asciiTheme="majorHAnsi" w:hAnsiTheme="majorHAnsi" w:cstheme="majorHAnsi"/>
              <w:shd w:val="clear" w:color="auto" w:fill="FFFFFF"/>
            </w:rPr>
            <w:t xml:space="preserve">, E. Y., &amp; </w:t>
          </w:r>
          <w:proofErr w:type="spellStart"/>
          <w:r w:rsidRPr="00943049">
            <w:rPr>
              <w:rFonts w:asciiTheme="majorHAnsi" w:hAnsiTheme="majorHAnsi" w:cstheme="majorHAnsi"/>
              <w:shd w:val="clear" w:color="auto" w:fill="FFFFFF"/>
            </w:rPr>
            <w:t>Koğar</w:t>
          </w:r>
          <w:proofErr w:type="spellEnd"/>
          <w:r w:rsidRPr="00943049">
            <w:rPr>
              <w:rFonts w:asciiTheme="majorHAnsi" w:hAnsiTheme="majorHAnsi" w:cstheme="majorHAnsi"/>
              <w:shd w:val="clear" w:color="auto" w:fill="FFFFFF"/>
            </w:rPr>
            <w:t>, H. (2023). Using a bifactor exploratory structural equation modeling framework to examine the factor structure of the Depression Anxiety and Stress Scales-21. </w:t>
          </w:r>
          <w:r w:rsidRPr="00943049">
            <w:rPr>
              <w:rFonts w:asciiTheme="majorHAnsi" w:hAnsiTheme="majorHAnsi" w:cstheme="majorHAnsi"/>
              <w:i/>
              <w:iCs/>
              <w:shd w:val="clear" w:color="auto" w:fill="FFFFFF"/>
            </w:rPr>
            <w:t>Current Psychology</w:t>
          </w:r>
          <w:r w:rsidRPr="00943049">
            <w:rPr>
              <w:rFonts w:asciiTheme="majorHAnsi" w:hAnsiTheme="majorHAnsi" w:cstheme="majorHAnsi"/>
              <w:shd w:val="clear" w:color="auto" w:fill="FFFFFF"/>
            </w:rPr>
            <w:t>, </w:t>
          </w:r>
          <w:r w:rsidRPr="00943049">
            <w:rPr>
              <w:rFonts w:asciiTheme="majorHAnsi" w:hAnsiTheme="majorHAnsi" w:cstheme="majorHAnsi"/>
              <w:i/>
              <w:iCs/>
              <w:shd w:val="clear" w:color="auto" w:fill="FFFFFF"/>
            </w:rPr>
            <w:t>42</w:t>
          </w:r>
          <w:r w:rsidRPr="00943049">
            <w:rPr>
              <w:rFonts w:asciiTheme="majorHAnsi" w:hAnsiTheme="majorHAnsi" w:cstheme="majorHAnsi"/>
              <w:shd w:val="clear" w:color="auto" w:fill="FFFFFF"/>
            </w:rPr>
            <w:t>(29), 25807</w:t>
          </w:r>
          <w:r w:rsidRPr="00943049">
            <w:rPr>
              <w:rFonts w:asciiTheme="majorHAnsi" w:hAnsiTheme="majorHAnsi" w:cstheme="majorHAnsi"/>
              <w:lang w:val="en-GB"/>
            </w:rPr>
            <w:t>–</w:t>
          </w:r>
          <w:r w:rsidRPr="00943049">
            <w:rPr>
              <w:rFonts w:asciiTheme="majorHAnsi" w:hAnsiTheme="majorHAnsi" w:cstheme="majorHAnsi"/>
              <w:shd w:val="clear" w:color="auto" w:fill="FFFFFF"/>
            </w:rPr>
            <w:t xml:space="preserve">25821. </w:t>
          </w:r>
          <w:r w:rsidRPr="00943049">
            <w:rPr>
              <w:rFonts w:asciiTheme="majorHAnsi" w:hAnsiTheme="majorHAnsi" w:cstheme="majorHAnsi"/>
              <w:kern w:val="0"/>
              <w:lang w:val="en-AU"/>
            </w:rPr>
            <w:t>https://doi.org/10.1007/s12144-022-03710-x</w:t>
          </w:r>
        </w:p>
        <w:p w14:paraId="5AFF2840" w14:textId="77777777" w:rsidR="00294565" w:rsidRPr="00943049" w:rsidRDefault="00294565" w:rsidP="00943049">
          <w:pPr>
            <w:pStyle w:val="Bibliography"/>
            <w:rPr>
              <w:rFonts w:asciiTheme="majorHAnsi" w:hAnsiTheme="majorHAnsi" w:cstheme="majorHAnsi"/>
              <w:lang w:val="en-GB"/>
            </w:rPr>
          </w:pPr>
          <w:r w:rsidRPr="00943049">
            <w:rPr>
              <w:rFonts w:asciiTheme="majorHAnsi" w:hAnsiTheme="majorHAnsi" w:cstheme="majorHAnsi"/>
              <w:noProof/>
            </w:rPr>
            <w:t xml:space="preserve">Koponen, S., Taiminen, T., Portin, R., Himanen, L., Isoniemi, H., Heinonen, H., Hinkka, S., &amp; Tenovuo, O. (2002). Axis I and II psychiatric disorders after traumatic brain injury: a 30-year follow-up study. </w:t>
          </w:r>
          <w:r w:rsidRPr="00943049">
            <w:rPr>
              <w:rFonts w:asciiTheme="majorHAnsi" w:hAnsiTheme="majorHAnsi" w:cstheme="majorHAnsi"/>
              <w:i/>
              <w:noProof/>
            </w:rPr>
            <w:t>The American Journal of Psychiatry</w:t>
          </w:r>
          <w:r w:rsidRPr="00943049">
            <w:rPr>
              <w:rFonts w:asciiTheme="majorHAnsi" w:hAnsiTheme="majorHAnsi" w:cstheme="majorHAnsi"/>
              <w:noProof/>
            </w:rPr>
            <w:t xml:space="preserve">, </w:t>
          </w:r>
          <w:r w:rsidRPr="00943049">
            <w:rPr>
              <w:rFonts w:asciiTheme="majorHAnsi" w:hAnsiTheme="majorHAnsi" w:cstheme="majorHAnsi"/>
              <w:i/>
              <w:noProof/>
            </w:rPr>
            <w:t>159</w:t>
          </w:r>
          <w:r w:rsidRPr="00943049">
            <w:rPr>
              <w:rFonts w:asciiTheme="majorHAnsi" w:hAnsiTheme="majorHAnsi" w:cstheme="majorHAnsi"/>
              <w:noProof/>
            </w:rPr>
            <w:t>(8), 1315–1321. https://doi.org/10.1176/appi.ajp.159.8.1315</w:t>
          </w:r>
        </w:p>
        <w:p w14:paraId="09B80502" w14:textId="77777777" w:rsidR="00294565" w:rsidRPr="00943049" w:rsidRDefault="00294565" w:rsidP="00943049">
          <w:pPr>
            <w:pStyle w:val="Bibliography"/>
            <w:rPr>
              <w:rFonts w:asciiTheme="majorHAnsi" w:hAnsiTheme="majorHAnsi" w:cstheme="majorHAnsi"/>
              <w:lang w:val="en-GB"/>
            </w:rPr>
          </w:pPr>
          <w:r w:rsidRPr="00943049">
            <w:rPr>
              <w:rFonts w:asciiTheme="majorHAnsi" w:hAnsiTheme="majorHAnsi" w:cstheme="majorHAnsi"/>
              <w:lang w:val="en-GB"/>
            </w:rPr>
            <w:t xml:space="preserve">Kotov, R., Krueger, R. F., Watson, D., Achenbach, T. M., Althoff, R. R., Bagby, R. M., Brown, T. A., Carpenter, W. T., Caspi, A., Clark, L. A., Eaton, N. R., Forbes, M. K., Forbush, K. T., Goldberg, D., Hasin, D., Hyman, S. E., Ivanova, M. Y., Lynam, D. R., Markon, K., … Zimmerman, M. (2017). The Hierarchical Taxonomy of Psychopathology (HiTOP): A dimensional alternative to traditional nosologies. </w:t>
          </w:r>
          <w:r w:rsidRPr="00943049">
            <w:rPr>
              <w:rFonts w:asciiTheme="majorHAnsi" w:hAnsiTheme="majorHAnsi" w:cstheme="majorHAnsi"/>
              <w:i/>
              <w:iCs/>
              <w:lang w:val="en-GB"/>
            </w:rPr>
            <w:t>Journal of Abnormal Psychology</w:t>
          </w:r>
          <w:r w:rsidRPr="00943049">
            <w:rPr>
              <w:rFonts w:asciiTheme="majorHAnsi" w:hAnsiTheme="majorHAnsi" w:cstheme="majorHAnsi"/>
              <w:lang w:val="en-GB"/>
            </w:rPr>
            <w:t xml:space="preserve">, </w:t>
          </w:r>
          <w:r w:rsidRPr="00943049">
            <w:rPr>
              <w:rFonts w:asciiTheme="majorHAnsi" w:hAnsiTheme="majorHAnsi" w:cstheme="majorHAnsi"/>
              <w:i/>
              <w:iCs/>
              <w:lang w:val="en-GB"/>
            </w:rPr>
            <w:t>126</w:t>
          </w:r>
          <w:r w:rsidRPr="00943049">
            <w:rPr>
              <w:rFonts w:asciiTheme="majorHAnsi" w:hAnsiTheme="majorHAnsi" w:cstheme="majorHAnsi"/>
              <w:lang w:val="en-GB"/>
            </w:rPr>
            <w:t xml:space="preserve">(4), 454–477. </w:t>
          </w:r>
          <w:hyperlink r:id="rId20" w:history="1">
            <w:r w:rsidRPr="00943049">
              <w:rPr>
                <w:rStyle w:val="Hyperlink"/>
                <w:rFonts w:asciiTheme="majorHAnsi" w:hAnsiTheme="majorHAnsi" w:cstheme="majorHAnsi"/>
                <w:color w:val="auto"/>
                <w:u w:val="none"/>
                <w:lang w:val="en-GB"/>
              </w:rPr>
              <w:t>https://doi.org/10.1037/abn0000258</w:t>
            </w:r>
          </w:hyperlink>
        </w:p>
        <w:p w14:paraId="73A4C476" w14:textId="77777777" w:rsidR="00294565" w:rsidRPr="00943049" w:rsidRDefault="00294565" w:rsidP="00943049">
          <w:pPr>
            <w:pStyle w:val="Bibliography"/>
            <w:rPr>
              <w:rFonts w:asciiTheme="majorHAnsi" w:hAnsiTheme="majorHAnsi" w:cstheme="majorHAnsi"/>
              <w:lang w:val="en-GB"/>
            </w:rPr>
          </w:pPr>
          <w:r w:rsidRPr="00943049">
            <w:rPr>
              <w:rFonts w:asciiTheme="majorHAnsi" w:hAnsiTheme="majorHAnsi" w:cstheme="majorHAnsi"/>
              <w:lang w:val="en-GB"/>
            </w:rPr>
            <w:t xml:space="preserve">Kotov, R., Krueger, R. F., Watson, D., Cicero, D. C., Conway, C. C., DeYoung, C. G., Eaton, N. R., Forbes, M. K., Hallquist, M. N., Latzman, R. D., Mullins-Sweatt, S. N., Ruggero, C. J., Simms, L. J., Waldman, I. D., Waszczuk, M. A., &amp; Wright, A. G. C. (2021). The Hierarchical Taxonomy of Psychopathology (HiTOP): A quantitative nosology based on consensus of evidence. </w:t>
          </w:r>
          <w:r w:rsidRPr="00943049">
            <w:rPr>
              <w:rFonts w:asciiTheme="majorHAnsi" w:hAnsiTheme="majorHAnsi" w:cstheme="majorHAnsi"/>
              <w:i/>
              <w:iCs/>
              <w:lang w:val="en-GB"/>
            </w:rPr>
            <w:t>Annual Review of Clinical Psychology</w:t>
          </w:r>
          <w:r w:rsidRPr="00943049">
            <w:rPr>
              <w:rFonts w:asciiTheme="majorHAnsi" w:hAnsiTheme="majorHAnsi" w:cstheme="majorHAnsi"/>
              <w:lang w:val="en-GB"/>
            </w:rPr>
            <w:t xml:space="preserve">, </w:t>
          </w:r>
          <w:r w:rsidRPr="00943049">
            <w:rPr>
              <w:rFonts w:asciiTheme="majorHAnsi" w:hAnsiTheme="majorHAnsi" w:cstheme="majorHAnsi"/>
              <w:i/>
              <w:iCs/>
              <w:lang w:val="en-GB"/>
            </w:rPr>
            <w:t>17</w:t>
          </w:r>
          <w:r w:rsidRPr="00943049">
            <w:rPr>
              <w:rFonts w:asciiTheme="majorHAnsi" w:hAnsiTheme="majorHAnsi" w:cstheme="majorHAnsi"/>
              <w:lang w:val="en-GB"/>
            </w:rPr>
            <w:t xml:space="preserve">(1), 1219–3304. </w:t>
          </w:r>
          <w:hyperlink r:id="rId21" w:history="1">
            <w:r w:rsidRPr="00943049">
              <w:rPr>
                <w:rStyle w:val="Hyperlink"/>
                <w:rFonts w:asciiTheme="majorHAnsi" w:hAnsiTheme="majorHAnsi" w:cstheme="majorHAnsi"/>
                <w:color w:val="auto"/>
                <w:u w:val="none"/>
                <w:lang w:val="en-GB"/>
              </w:rPr>
              <w:t>https://doi.org/10.1146/annurev-clinpsy-081219-093304</w:t>
            </w:r>
          </w:hyperlink>
        </w:p>
        <w:p w14:paraId="0904AF26" w14:textId="77777777" w:rsidR="00294565" w:rsidRPr="00943049" w:rsidRDefault="00294565" w:rsidP="00943049">
          <w:pPr>
            <w:pStyle w:val="Bibliography"/>
            <w:rPr>
              <w:rFonts w:asciiTheme="majorHAnsi" w:hAnsiTheme="majorHAnsi" w:cstheme="majorHAnsi"/>
              <w:noProof/>
            </w:rPr>
          </w:pPr>
          <w:r w:rsidRPr="00943049">
            <w:rPr>
              <w:rFonts w:asciiTheme="majorHAnsi" w:hAnsiTheme="majorHAnsi" w:cstheme="majorHAnsi"/>
              <w:shd w:val="clear" w:color="auto" w:fill="FFFFFF"/>
            </w:rPr>
            <w:t xml:space="preserve">Lee, J., Lee, E. H., &amp; Moon, S. H. (2019). Systematic review of the measurement properties of the Depression Anxiety Stress Scales–21 by applying updated COSMIN </w:t>
          </w:r>
          <w:r w:rsidRPr="00943049">
            <w:rPr>
              <w:rFonts w:asciiTheme="majorHAnsi" w:hAnsiTheme="majorHAnsi" w:cstheme="majorHAnsi"/>
              <w:shd w:val="clear" w:color="auto" w:fill="FFFFFF"/>
            </w:rPr>
            <w:lastRenderedPageBreak/>
            <w:t>methodology. </w:t>
          </w:r>
          <w:r w:rsidRPr="00943049">
            <w:rPr>
              <w:rFonts w:asciiTheme="majorHAnsi" w:hAnsiTheme="majorHAnsi" w:cstheme="majorHAnsi"/>
              <w:i/>
              <w:iCs/>
              <w:shd w:val="clear" w:color="auto" w:fill="FFFFFF"/>
            </w:rPr>
            <w:t>Quality of Life Research</w:t>
          </w:r>
          <w:r w:rsidRPr="00943049">
            <w:rPr>
              <w:rFonts w:asciiTheme="majorHAnsi" w:hAnsiTheme="majorHAnsi" w:cstheme="majorHAnsi"/>
              <w:shd w:val="clear" w:color="auto" w:fill="FFFFFF"/>
            </w:rPr>
            <w:t>, </w:t>
          </w:r>
          <w:r w:rsidRPr="00943049">
            <w:rPr>
              <w:rFonts w:asciiTheme="majorHAnsi" w:hAnsiTheme="majorHAnsi" w:cstheme="majorHAnsi"/>
              <w:i/>
              <w:iCs/>
              <w:shd w:val="clear" w:color="auto" w:fill="FFFFFF"/>
            </w:rPr>
            <w:t>28</w:t>
          </w:r>
          <w:r w:rsidRPr="00943049">
            <w:rPr>
              <w:rFonts w:asciiTheme="majorHAnsi" w:hAnsiTheme="majorHAnsi" w:cstheme="majorHAnsi"/>
              <w:shd w:val="clear" w:color="auto" w:fill="FFFFFF"/>
            </w:rPr>
            <w:t>, 2325</w:t>
          </w:r>
          <w:r w:rsidRPr="00943049">
            <w:rPr>
              <w:rFonts w:asciiTheme="majorHAnsi" w:hAnsiTheme="majorHAnsi" w:cstheme="majorHAnsi"/>
              <w:noProof/>
            </w:rPr>
            <w:t>–</w:t>
          </w:r>
          <w:r w:rsidRPr="00943049">
            <w:rPr>
              <w:rFonts w:asciiTheme="majorHAnsi" w:hAnsiTheme="majorHAnsi" w:cstheme="majorHAnsi"/>
              <w:shd w:val="clear" w:color="auto" w:fill="FFFFFF"/>
            </w:rPr>
            <w:t>2339. https://doi.org/</w:t>
          </w:r>
          <w:r w:rsidRPr="00943049">
            <w:rPr>
              <w:rFonts w:asciiTheme="majorHAnsi" w:hAnsiTheme="majorHAnsi" w:cstheme="majorHAnsi"/>
            </w:rPr>
            <w:t xml:space="preserve"> </w:t>
          </w:r>
          <w:r w:rsidRPr="00943049">
            <w:rPr>
              <w:rFonts w:asciiTheme="majorHAnsi" w:hAnsiTheme="majorHAnsi" w:cstheme="majorHAnsi"/>
              <w:bdr w:val="none" w:sz="0" w:space="0" w:color="auto" w:frame="1"/>
            </w:rPr>
            <w:t>10.1007/s11136-019-02177-x</w:t>
          </w:r>
        </w:p>
        <w:p w14:paraId="13C0016D" w14:textId="77777777" w:rsidR="00294565" w:rsidRPr="00943049" w:rsidRDefault="00294565" w:rsidP="00943049">
          <w:pPr>
            <w:pStyle w:val="Bibliography"/>
            <w:rPr>
              <w:rFonts w:asciiTheme="majorHAnsi" w:hAnsiTheme="majorHAnsi" w:cstheme="majorHAnsi"/>
              <w:lang w:val="en-GB"/>
            </w:rPr>
          </w:pPr>
          <w:r w:rsidRPr="00943049">
            <w:rPr>
              <w:rFonts w:asciiTheme="majorHAnsi" w:hAnsiTheme="majorHAnsi" w:cstheme="majorHAnsi"/>
              <w:lang w:val="en-GB"/>
            </w:rPr>
            <w:t xml:space="preserve">Lovibond, S. H., Lovibond, P. F. (1995a). </w:t>
          </w:r>
          <w:r w:rsidRPr="00943049">
            <w:rPr>
              <w:rFonts w:asciiTheme="majorHAnsi" w:hAnsiTheme="majorHAnsi" w:cstheme="majorHAnsi"/>
              <w:i/>
              <w:iCs/>
              <w:lang w:val="en-GB"/>
            </w:rPr>
            <w:t>Manual for the depression anxiety stress scales</w:t>
          </w:r>
          <w:r w:rsidRPr="00943049">
            <w:rPr>
              <w:rFonts w:asciiTheme="majorHAnsi" w:hAnsiTheme="majorHAnsi" w:cstheme="majorHAnsi"/>
              <w:lang w:val="en-GB"/>
            </w:rPr>
            <w:t>. Psychology Foundation of Australia.</w:t>
          </w:r>
        </w:p>
        <w:p w14:paraId="7C5414F4" w14:textId="77777777" w:rsidR="00895E2F" w:rsidRPr="00943049" w:rsidRDefault="00294565" w:rsidP="00943049">
          <w:pPr>
            <w:pStyle w:val="Bibliography"/>
            <w:rPr>
              <w:rFonts w:asciiTheme="majorHAnsi" w:hAnsiTheme="majorHAnsi" w:cstheme="majorHAnsi"/>
              <w:lang w:val="en-GB"/>
            </w:rPr>
          </w:pPr>
          <w:r w:rsidRPr="00943049">
            <w:rPr>
              <w:rFonts w:asciiTheme="majorHAnsi" w:hAnsiTheme="majorHAnsi" w:cstheme="majorHAnsi"/>
              <w:lang w:val="en-GB"/>
            </w:rPr>
            <w:t xml:space="preserve">Lovibond, P. F., &amp; Lovibond, S. H. (1995b). The structure of negative emotional states: Comparison of the Depression Anxiety Stress Scales (DASS) with the beck depression and anxiety inventories. </w:t>
          </w:r>
          <w:r w:rsidRPr="00943049">
            <w:rPr>
              <w:rFonts w:asciiTheme="majorHAnsi" w:hAnsiTheme="majorHAnsi" w:cstheme="majorHAnsi"/>
              <w:i/>
              <w:iCs/>
              <w:lang w:val="en-GB"/>
            </w:rPr>
            <w:t>Behaviour Research and Therapy</w:t>
          </w:r>
          <w:r w:rsidRPr="00943049">
            <w:rPr>
              <w:rFonts w:asciiTheme="majorHAnsi" w:hAnsiTheme="majorHAnsi" w:cstheme="majorHAnsi"/>
              <w:lang w:val="en-GB"/>
            </w:rPr>
            <w:t xml:space="preserve">, </w:t>
          </w:r>
          <w:r w:rsidRPr="00943049">
            <w:rPr>
              <w:rFonts w:asciiTheme="majorHAnsi" w:hAnsiTheme="majorHAnsi" w:cstheme="majorHAnsi"/>
              <w:i/>
              <w:iCs/>
              <w:lang w:val="en-GB"/>
            </w:rPr>
            <w:t>33</w:t>
          </w:r>
          <w:r w:rsidRPr="00943049">
            <w:rPr>
              <w:rFonts w:asciiTheme="majorHAnsi" w:hAnsiTheme="majorHAnsi" w:cstheme="majorHAnsi"/>
              <w:lang w:val="en-GB"/>
            </w:rPr>
            <w:t>(3), 335–343. https://doi.org/10.1016/0005-7967(94)00075-U</w:t>
          </w:r>
        </w:p>
        <w:p w14:paraId="161D91A5" w14:textId="2D7A533D" w:rsidR="00895E2F" w:rsidRPr="00943049" w:rsidRDefault="00895E2F" w:rsidP="00943049">
          <w:pPr>
            <w:pStyle w:val="Bibliography"/>
            <w:rPr>
              <w:rFonts w:asciiTheme="majorHAnsi" w:hAnsiTheme="majorHAnsi" w:cstheme="majorHAnsi"/>
              <w:lang w:val="en-GB"/>
            </w:rPr>
          </w:pPr>
          <w:r w:rsidRPr="00943049">
            <w:rPr>
              <w:rFonts w:asciiTheme="majorHAnsi" w:hAnsiTheme="majorHAnsi" w:cstheme="majorHAnsi"/>
              <w:shd w:val="clear" w:color="auto" w:fill="FFFFFF"/>
            </w:rPr>
            <w:t xml:space="preserve">MacCallum, R. C., Browne, M. W., &amp; Sugawara, H. M. (1996). Power Analysis and Determination of Sample Size for Covariance Structure Modeling. </w:t>
          </w:r>
          <w:r w:rsidRPr="00943049">
            <w:rPr>
              <w:rFonts w:asciiTheme="majorHAnsi" w:hAnsiTheme="majorHAnsi" w:cstheme="majorHAnsi"/>
              <w:i/>
              <w:iCs/>
              <w:shd w:val="clear" w:color="auto" w:fill="FFFFFF"/>
            </w:rPr>
            <w:t>Psychological Methods</w:t>
          </w:r>
          <w:r w:rsidRPr="00943049">
            <w:rPr>
              <w:rFonts w:asciiTheme="majorHAnsi" w:hAnsiTheme="majorHAnsi" w:cstheme="majorHAnsi"/>
              <w:shd w:val="clear" w:color="auto" w:fill="FFFFFF"/>
            </w:rPr>
            <w:t>, 1, 130-149.</w:t>
          </w:r>
          <w:r w:rsidRPr="00943049">
            <w:rPr>
              <w:rFonts w:asciiTheme="majorHAnsi" w:hAnsiTheme="majorHAnsi" w:cstheme="majorHAnsi"/>
            </w:rPr>
            <w:t xml:space="preserve"> </w:t>
          </w:r>
          <w:r w:rsidRPr="00943049">
            <w:rPr>
              <w:rFonts w:asciiTheme="majorHAnsi" w:hAnsiTheme="majorHAnsi" w:cstheme="majorHAnsi"/>
              <w:shd w:val="clear" w:color="auto" w:fill="FFFFFF"/>
            </w:rPr>
            <w:t>https://doi.org/10.1037/1082-989X.1.2.130</w:t>
          </w:r>
        </w:p>
        <w:p w14:paraId="45221C11" w14:textId="77777777" w:rsidR="00294565" w:rsidRPr="00943049" w:rsidRDefault="00294565" w:rsidP="00943049">
          <w:pPr>
            <w:pStyle w:val="Bibliography"/>
            <w:rPr>
              <w:rFonts w:asciiTheme="majorHAnsi" w:hAnsiTheme="majorHAnsi" w:cstheme="majorHAnsi"/>
              <w:lang w:val="en-GB"/>
            </w:rPr>
          </w:pPr>
          <w:r w:rsidRPr="00943049">
            <w:rPr>
              <w:rFonts w:asciiTheme="majorHAnsi" w:hAnsiTheme="majorHAnsi" w:cstheme="majorHAnsi"/>
              <w:lang w:val="en-GB"/>
            </w:rPr>
            <w:t xml:space="preserve">Malec, J. F., Brown, A. W., Leibson, C. L., Flaada, J. T., Mandrekar, J. N., Diehl, N. N., &amp; Perkins, P. K. (2007). The Mayo classification system for traumatic brain injury severity. </w:t>
          </w:r>
          <w:r w:rsidRPr="00943049">
            <w:rPr>
              <w:rFonts w:asciiTheme="majorHAnsi" w:hAnsiTheme="majorHAnsi" w:cstheme="majorHAnsi"/>
              <w:i/>
              <w:iCs/>
              <w:lang w:val="en-GB"/>
            </w:rPr>
            <w:t>Journal of Neurotrauma</w:t>
          </w:r>
          <w:r w:rsidRPr="00943049">
            <w:rPr>
              <w:rFonts w:asciiTheme="majorHAnsi" w:hAnsiTheme="majorHAnsi" w:cstheme="majorHAnsi"/>
              <w:lang w:val="en-GB"/>
            </w:rPr>
            <w:t xml:space="preserve">, </w:t>
          </w:r>
          <w:r w:rsidRPr="00943049">
            <w:rPr>
              <w:rFonts w:asciiTheme="majorHAnsi" w:hAnsiTheme="majorHAnsi" w:cstheme="majorHAnsi"/>
              <w:i/>
              <w:iCs/>
              <w:lang w:val="en-GB"/>
            </w:rPr>
            <w:t>24</w:t>
          </w:r>
          <w:r w:rsidRPr="00943049">
            <w:rPr>
              <w:rFonts w:asciiTheme="majorHAnsi" w:hAnsiTheme="majorHAnsi" w:cstheme="majorHAnsi"/>
              <w:lang w:val="en-GB"/>
            </w:rPr>
            <w:t>(9), 1417–1424. https://doi.org/10.1089/neu.2006.0245</w:t>
          </w:r>
        </w:p>
        <w:p w14:paraId="489B8DBE" w14:textId="77777777" w:rsidR="00294565" w:rsidRPr="00943049" w:rsidRDefault="00294565" w:rsidP="00943049">
          <w:pPr>
            <w:pStyle w:val="Bibliography"/>
            <w:rPr>
              <w:rStyle w:val="Hyperlink"/>
              <w:rFonts w:asciiTheme="majorHAnsi" w:hAnsiTheme="majorHAnsi" w:cstheme="majorHAnsi"/>
              <w:color w:val="auto"/>
              <w:u w:val="none"/>
              <w:lang w:val="en-GB"/>
            </w:rPr>
          </w:pPr>
          <w:r w:rsidRPr="00943049">
            <w:rPr>
              <w:rFonts w:asciiTheme="majorHAnsi" w:hAnsiTheme="majorHAnsi" w:cstheme="majorHAnsi"/>
              <w:lang w:val="en-GB"/>
            </w:rPr>
            <w:t xml:space="preserve">Marshall, A. J., Evanovich, E. K., David, S. J., &amp; Mumma, G. H. (2018). Separating common from unique variance within emotional distress: An examination of reliability and relations to worry. </w:t>
          </w:r>
          <w:r w:rsidRPr="00943049">
            <w:rPr>
              <w:rFonts w:asciiTheme="majorHAnsi" w:hAnsiTheme="majorHAnsi" w:cstheme="majorHAnsi"/>
              <w:i/>
              <w:iCs/>
              <w:lang w:val="en-GB"/>
            </w:rPr>
            <w:t>Behavioural and Cognitive Psychotherapy</w:t>
          </w:r>
          <w:r w:rsidRPr="00943049">
            <w:rPr>
              <w:rFonts w:asciiTheme="majorHAnsi" w:hAnsiTheme="majorHAnsi" w:cstheme="majorHAnsi"/>
              <w:lang w:val="en-GB"/>
            </w:rPr>
            <w:t xml:space="preserve">, </w:t>
          </w:r>
          <w:r w:rsidRPr="00943049">
            <w:rPr>
              <w:rFonts w:asciiTheme="majorHAnsi" w:hAnsiTheme="majorHAnsi" w:cstheme="majorHAnsi"/>
              <w:i/>
              <w:iCs/>
              <w:lang w:val="en-GB"/>
            </w:rPr>
            <w:t>46</w:t>
          </w:r>
          <w:r w:rsidRPr="00943049">
            <w:rPr>
              <w:rFonts w:asciiTheme="majorHAnsi" w:hAnsiTheme="majorHAnsi" w:cstheme="majorHAnsi"/>
              <w:lang w:val="en-GB"/>
            </w:rPr>
            <w:t xml:space="preserve">(5), 633–638. </w:t>
          </w:r>
          <w:hyperlink r:id="rId22" w:history="1">
            <w:r w:rsidRPr="00943049">
              <w:rPr>
                <w:rStyle w:val="Hyperlink"/>
                <w:rFonts w:asciiTheme="majorHAnsi" w:hAnsiTheme="majorHAnsi" w:cstheme="majorHAnsi"/>
                <w:color w:val="auto"/>
                <w:u w:val="none"/>
                <w:lang w:val="en-GB"/>
              </w:rPr>
              <w:t>https://doi.org/10.1017/S1352465817000777</w:t>
            </w:r>
          </w:hyperlink>
        </w:p>
        <w:p w14:paraId="12999C80" w14:textId="3C54D2EC" w:rsidR="00294565" w:rsidRPr="00943049" w:rsidRDefault="00294565" w:rsidP="00943049">
          <w:pPr>
            <w:pStyle w:val="Bibliography"/>
            <w:rPr>
              <w:rFonts w:asciiTheme="majorHAnsi" w:hAnsiTheme="majorHAnsi" w:cstheme="majorHAnsi"/>
              <w:noProof/>
            </w:rPr>
          </w:pPr>
          <w:r w:rsidRPr="00943049">
            <w:rPr>
              <w:rFonts w:asciiTheme="majorHAnsi" w:hAnsiTheme="majorHAnsi" w:cstheme="majorHAnsi"/>
              <w:noProof/>
            </w:rPr>
            <w:t xml:space="preserve">McDonald, R. P. (1999). </w:t>
          </w:r>
          <w:r w:rsidRPr="00943049">
            <w:rPr>
              <w:rFonts w:asciiTheme="majorHAnsi" w:hAnsiTheme="majorHAnsi" w:cstheme="majorHAnsi"/>
              <w:i/>
              <w:noProof/>
            </w:rPr>
            <w:t>Test theory: A unified approach</w:t>
          </w:r>
          <w:r w:rsidRPr="00943049">
            <w:rPr>
              <w:rFonts w:asciiTheme="majorHAnsi" w:hAnsiTheme="majorHAnsi" w:cstheme="majorHAnsi"/>
              <w:noProof/>
            </w:rPr>
            <w:t>.</w:t>
          </w:r>
          <w:r w:rsidR="00895E2F" w:rsidRPr="00943049">
            <w:rPr>
              <w:rFonts w:asciiTheme="majorHAnsi" w:hAnsiTheme="majorHAnsi" w:cstheme="majorHAnsi"/>
              <w:noProof/>
            </w:rPr>
            <w:t xml:space="preserve"> Erlbaum.</w:t>
          </w:r>
        </w:p>
        <w:p w14:paraId="18985A20" w14:textId="77777777" w:rsidR="00294565" w:rsidRPr="00943049" w:rsidRDefault="00294565" w:rsidP="00943049">
          <w:pPr>
            <w:pStyle w:val="Bibliography"/>
            <w:rPr>
              <w:rFonts w:asciiTheme="majorHAnsi" w:hAnsiTheme="majorHAnsi" w:cstheme="majorHAnsi"/>
              <w:lang w:val="en-GB"/>
            </w:rPr>
          </w:pPr>
          <w:r w:rsidRPr="00943049">
            <w:rPr>
              <w:rFonts w:asciiTheme="majorHAnsi" w:hAnsiTheme="majorHAnsi" w:cstheme="majorHAnsi"/>
              <w:lang w:val="en-GB"/>
            </w:rPr>
            <w:t xml:space="preserve">Mihic, L., Volarov, M., Oljaca, M., &amp; Novovic, Z. (2021). The depression anxiety and stress Scales-21: Bifactor statistical indices in support of the total and depression scores. </w:t>
          </w:r>
          <w:r w:rsidRPr="00943049">
            <w:rPr>
              <w:rFonts w:asciiTheme="majorHAnsi" w:hAnsiTheme="majorHAnsi" w:cstheme="majorHAnsi"/>
              <w:i/>
              <w:iCs/>
              <w:lang w:val="en-GB"/>
            </w:rPr>
            <w:t>Psihologija</w:t>
          </w:r>
          <w:r w:rsidRPr="00943049">
            <w:rPr>
              <w:rFonts w:asciiTheme="majorHAnsi" w:hAnsiTheme="majorHAnsi" w:cstheme="majorHAnsi"/>
              <w:lang w:val="en-GB"/>
            </w:rPr>
            <w:t xml:space="preserve">, </w:t>
          </w:r>
          <w:r w:rsidRPr="00943049">
            <w:rPr>
              <w:rFonts w:asciiTheme="majorHAnsi" w:hAnsiTheme="majorHAnsi" w:cstheme="majorHAnsi"/>
              <w:i/>
              <w:iCs/>
              <w:lang w:val="en-GB"/>
            </w:rPr>
            <w:t>54</w:t>
          </w:r>
          <w:r w:rsidRPr="00943049">
            <w:rPr>
              <w:rFonts w:asciiTheme="majorHAnsi" w:hAnsiTheme="majorHAnsi" w:cstheme="majorHAnsi"/>
              <w:lang w:val="en-GB"/>
            </w:rPr>
            <w:t>(2), 155–172. https://doi.org/10.2298/PSI191227025M</w:t>
          </w:r>
        </w:p>
        <w:p w14:paraId="42DA8711" w14:textId="77777777" w:rsidR="00943049" w:rsidRPr="00943049" w:rsidRDefault="00294565" w:rsidP="00943049">
          <w:pPr>
            <w:pStyle w:val="Bibliography"/>
            <w:rPr>
              <w:rFonts w:asciiTheme="majorHAnsi" w:hAnsiTheme="majorHAnsi" w:cstheme="majorHAnsi"/>
              <w:lang w:val="en-GB"/>
            </w:rPr>
          </w:pPr>
          <w:r w:rsidRPr="00943049">
            <w:rPr>
              <w:rFonts w:asciiTheme="majorHAnsi" w:hAnsiTheme="majorHAnsi" w:cstheme="majorHAnsi"/>
              <w:lang w:val="en-GB"/>
            </w:rPr>
            <w:t xml:space="preserve">Moore, S. A., Dowdy, E., &amp; Furlong, M. J. (2017). Using the Depression, Anxiety, Stress Scales–21 with U.S. adolescents: An alternate models analysis. </w:t>
          </w:r>
          <w:r w:rsidRPr="00943049">
            <w:rPr>
              <w:rFonts w:asciiTheme="majorHAnsi" w:hAnsiTheme="majorHAnsi" w:cstheme="majorHAnsi"/>
              <w:i/>
              <w:iCs/>
              <w:lang w:val="en-GB"/>
            </w:rPr>
            <w:t xml:space="preserve">Journal of </w:t>
          </w:r>
          <w:r w:rsidRPr="00943049">
            <w:rPr>
              <w:rFonts w:asciiTheme="majorHAnsi" w:hAnsiTheme="majorHAnsi" w:cstheme="majorHAnsi"/>
              <w:i/>
              <w:iCs/>
              <w:lang w:val="en-GB"/>
            </w:rPr>
            <w:lastRenderedPageBreak/>
            <w:t>Psychoeducational Assessment</w:t>
          </w:r>
          <w:r w:rsidRPr="00943049">
            <w:rPr>
              <w:rFonts w:asciiTheme="majorHAnsi" w:hAnsiTheme="majorHAnsi" w:cstheme="majorHAnsi"/>
              <w:lang w:val="en-GB"/>
            </w:rPr>
            <w:t xml:space="preserve">, </w:t>
          </w:r>
          <w:r w:rsidRPr="00943049">
            <w:rPr>
              <w:rFonts w:asciiTheme="majorHAnsi" w:hAnsiTheme="majorHAnsi" w:cstheme="majorHAnsi"/>
              <w:i/>
              <w:iCs/>
              <w:lang w:val="en-GB"/>
            </w:rPr>
            <w:t>35</w:t>
          </w:r>
          <w:r w:rsidRPr="00943049">
            <w:rPr>
              <w:rFonts w:asciiTheme="majorHAnsi" w:hAnsiTheme="majorHAnsi" w:cstheme="majorHAnsi"/>
              <w:lang w:val="en-GB"/>
            </w:rPr>
            <w:t>(6), 581–598. https://doi.org/10.1177/0734282916651537</w:t>
          </w:r>
        </w:p>
        <w:p w14:paraId="64024DDE" w14:textId="14E25BDD" w:rsidR="00943049" w:rsidRPr="00943049" w:rsidRDefault="00943049" w:rsidP="00943049">
          <w:pPr>
            <w:pStyle w:val="Bibliography"/>
            <w:rPr>
              <w:rFonts w:asciiTheme="majorHAnsi" w:hAnsiTheme="majorHAnsi" w:cstheme="majorHAnsi"/>
              <w:lang w:val="en-GB"/>
            </w:rPr>
          </w:pPr>
          <w:r w:rsidRPr="00943049">
            <w:rPr>
              <w:rFonts w:asciiTheme="majorHAnsi" w:hAnsiTheme="majorHAnsi" w:cstheme="majorHAnsi"/>
              <w:shd w:val="clear" w:color="auto" w:fill="FFFFFF"/>
            </w:rPr>
            <w:t xml:space="preserve">Murphy, H., </w:t>
          </w:r>
          <w:proofErr w:type="spellStart"/>
          <w:r w:rsidRPr="00943049">
            <w:rPr>
              <w:rFonts w:asciiTheme="majorHAnsi" w:hAnsiTheme="majorHAnsi" w:cstheme="majorHAnsi"/>
              <w:shd w:val="clear" w:color="auto" w:fill="FFFFFF"/>
            </w:rPr>
            <w:t>Prandstetter</w:t>
          </w:r>
          <w:proofErr w:type="spellEnd"/>
          <w:r w:rsidRPr="00943049">
            <w:rPr>
              <w:rFonts w:asciiTheme="majorHAnsi" w:hAnsiTheme="majorHAnsi" w:cstheme="majorHAnsi"/>
              <w:shd w:val="clear" w:color="auto" w:fill="FFFFFF"/>
            </w:rPr>
            <w:t xml:space="preserve">, K., Ward, C. L., Hutchings, J., </w:t>
          </w:r>
          <w:proofErr w:type="spellStart"/>
          <w:r w:rsidRPr="00943049">
            <w:rPr>
              <w:rFonts w:asciiTheme="majorHAnsi" w:hAnsiTheme="majorHAnsi" w:cstheme="majorHAnsi"/>
              <w:shd w:val="clear" w:color="auto" w:fill="FFFFFF"/>
            </w:rPr>
            <w:t>Kunovski</w:t>
          </w:r>
          <w:proofErr w:type="spellEnd"/>
          <w:r w:rsidRPr="00943049">
            <w:rPr>
              <w:rFonts w:asciiTheme="majorHAnsi" w:hAnsiTheme="majorHAnsi" w:cstheme="majorHAnsi"/>
              <w:shd w:val="clear" w:color="auto" w:fill="FFFFFF"/>
            </w:rPr>
            <w:t xml:space="preserve">, I., </w:t>
          </w:r>
          <w:proofErr w:type="spellStart"/>
          <w:r w:rsidRPr="00943049">
            <w:rPr>
              <w:rFonts w:asciiTheme="majorHAnsi" w:hAnsiTheme="majorHAnsi" w:cstheme="majorHAnsi"/>
              <w:shd w:val="clear" w:color="auto" w:fill="FFFFFF"/>
            </w:rPr>
            <w:t>Tăut</w:t>
          </w:r>
          <w:proofErr w:type="spellEnd"/>
          <w:r w:rsidRPr="00943049">
            <w:rPr>
              <w:rFonts w:asciiTheme="majorHAnsi" w:hAnsiTheme="majorHAnsi" w:cstheme="majorHAnsi"/>
              <w:shd w:val="clear" w:color="auto" w:fill="FFFFFF"/>
            </w:rPr>
            <w:t>, D., &amp; Foran, H. M. (2023). Factor structure of the Depression, Anxiety and Stress Scale among caregivers in Southeastern Europe. </w:t>
          </w:r>
          <w:r w:rsidRPr="00943049">
            <w:rPr>
              <w:rFonts w:asciiTheme="majorHAnsi" w:hAnsiTheme="majorHAnsi" w:cstheme="majorHAnsi"/>
              <w:i/>
              <w:iCs/>
              <w:shd w:val="clear" w:color="auto" w:fill="FFFFFF"/>
            </w:rPr>
            <w:t>Family Relations</w:t>
          </w:r>
          <w:r w:rsidRPr="00943049">
            <w:rPr>
              <w:rFonts w:asciiTheme="majorHAnsi" w:hAnsiTheme="majorHAnsi" w:cstheme="majorHAnsi"/>
              <w:shd w:val="clear" w:color="auto" w:fill="FFFFFF"/>
            </w:rPr>
            <w:t>. 1–16. https://doi.org/</w:t>
          </w:r>
          <w:r w:rsidRPr="00943049">
            <w:rPr>
              <w:rFonts w:asciiTheme="majorHAnsi" w:hAnsiTheme="majorHAnsi" w:cstheme="majorHAnsi"/>
              <w:bdr w:val="none" w:sz="0" w:space="0" w:color="auto" w:frame="1"/>
            </w:rPr>
            <w:t>10.1111/fare.12882</w:t>
          </w:r>
        </w:p>
        <w:p w14:paraId="4E1CC1D5" w14:textId="77777777" w:rsidR="00294565" w:rsidRPr="00943049" w:rsidRDefault="00294565" w:rsidP="00943049">
          <w:pPr>
            <w:pStyle w:val="Bibliography"/>
            <w:rPr>
              <w:rFonts w:asciiTheme="majorHAnsi" w:hAnsiTheme="majorHAnsi" w:cstheme="majorHAnsi"/>
              <w:lang w:val="en-GB"/>
            </w:rPr>
          </w:pPr>
          <w:r w:rsidRPr="00943049">
            <w:rPr>
              <w:rFonts w:asciiTheme="majorHAnsi" w:hAnsiTheme="majorHAnsi" w:cstheme="majorHAnsi"/>
              <w:lang w:val="en-GB"/>
            </w:rPr>
            <w:t xml:space="preserve">Muthén, B., Kaplan, D., &amp; Hollis, M. (1987). On structural equation modeling with data that are not missing completely at random. </w:t>
          </w:r>
          <w:r w:rsidRPr="00943049">
            <w:rPr>
              <w:rFonts w:asciiTheme="majorHAnsi" w:hAnsiTheme="majorHAnsi" w:cstheme="majorHAnsi"/>
              <w:i/>
              <w:iCs/>
              <w:lang w:val="en-GB"/>
            </w:rPr>
            <w:t>Psychometrika</w:t>
          </w:r>
          <w:r w:rsidRPr="00943049">
            <w:rPr>
              <w:rFonts w:asciiTheme="majorHAnsi" w:hAnsiTheme="majorHAnsi" w:cstheme="majorHAnsi"/>
              <w:lang w:val="en-GB"/>
            </w:rPr>
            <w:t xml:space="preserve">, </w:t>
          </w:r>
          <w:r w:rsidRPr="00943049">
            <w:rPr>
              <w:rFonts w:asciiTheme="majorHAnsi" w:hAnsiTheme="majorHAnsi" w:cstheme="majorHAnsi"/>
              <w:i/>
              <w:iCs/>
              <w:lang w:val="en-GB"/>
            </w:rPr>
            <w:t>52</w:t>
          </w:r>
          <w:r w:rsidRPr="00943049">
            <w:rPr>
              <w:rFonts w:asciiTheme="majorHAnsi" w:hAnsiTheme="majorHAnsi" w:cstheme="majorHAnsi"/>
              <w:lang w:val="en-GB"/>
            </w:rPr>
            <w:t>(3), 431–462. https://doi.org/10.1007/BF02294365</w:t>
          </w:r>
        </w:p>
        <w:p w14:paraId="4044E31E" w14:textId="77777777" w:rsidR="00294565" w:rsidRPr="00943049" w:rsidRDefault="00294565" w:rsidP="00943049">
          <w:pPr>
            <w:pStyle w:val="Bibliography"/>
            <w:rPr>
              <w:rFonts w:asciiTheme="majorHAnsi" w:hAnsiTheme="majorHAnsi" w:cstheme="majorHAnsi"/>
              <w:lang w:val="en-GB"/>
            </w:rPr>
          </w:pPr>
          <w:r w:rsidRPr="00943049">
            <w:rPr>
              <w:rFonts w:asciiTheme="majorHAnsi" w:hAnsiTheme="majorHAnsi" w:cstheme="majorHAnsi"/>
              <w:shd w:val="clear" w:color="auto" w:fill="FFFFFF"/>
            </w:rPr>
            <w:t>Naumova, K. (2022). Dimensionality and reliability of the Depression Anxiety Stress Scales 21 among adolescents in North Macedonia. </w:t>
          </w:r>
          <w:r w:rsidRPr="00943049">
            <w:rPr>
              <w:rFonts w:asciiTheme="majorHAnsi" w:hAnsiTheme="majorHAnsi" w:cstheme="majorHAnsi"/>
              <w:i/>
              <w:iCs/>
              <w:shd w:val="clear" w:color="auto" w:fill="FFFFFF"/>
            </w:rPr>
            <w:t>Frontiers in Psychology</w:t>
          </w:r>
          <w:r w:rsidRPr="00943049">
            <w:rPr>
              <w:rFonts w:asciiTheme="majorHAnsi" w:hAnsiTheme="majorHAnsi" w:cstheme="majorHAnsi"/>
              <w:shd w:val="clear" w:color="auto" w:fill="FFFFFF"/>
            </w:rPr>
            <w:t>. https://doi.org/10.3389/fpsyg.2022.1007594</w:t>
          </w:r>
        </w:p>
        <w:p w14:paraId="2DC9CE77" w14:textId="77777777" w:rsidR="00294565" w:rsidRPr="00943049" w:rsidRDefault="00294565" w:rsidP="00943049">
          <w:pPr>
            <w:pStyle w:val="Bibliography"/>
            <w:rPr>
              <w:rFonts w:asciiTheme="majorHAnsi" w:hAnsiTheme="majorHAnsi" w:cstheme="majorHAnsi"/>
              <w:lang w:val="en-GB"/>
            </w:rPr>
          </w:pPr>
          <w:r w:rsidRPr="00943049">
            <w:rPr>
              <w:rFonts w:asciiTheme="majorHAnsi" w:hAnsiTheme="majorHAnsi" w:cstheme="majorHAnsi"/>
              <w:lang w:val="en-GB"/>
            </w:rPr>
            <w:t xml:space="preserve">Osborn, A. J., Mathias, J. L., &amp; Fairweather-Schmidt, A. K. (2014). Depression following adult, non-penetrating traumatic brain injury: A meta-analysis examining methodological variables and sample characteristics. </w:t>
          </w:r>
          <w:r w:rsidRPr="00943049">
            <w:rPr>
              <w:rFonts w:asciiTheme="majorHAnsi" w:hAnsiTheme="majorHAnsi" w:cstheme="majorHAnsi"/>
              <w:i/>
              <w:iCs/>
              <w:lang w:val="en-GB"/>
            </w:rPr>
            <w:t>Neuroscience &amp; Biobehavioral Reviews</w:t>
          </w:r>
          <w:r w:rsidRPr="00943049">
            <w:rPr>
              <w:rFonts w:asciiTheme="majorHAnsi" w:hAnsiTheme="majorHAnsi" w:cstheme="majorHAnsi"/>
              <w:lang w:val="en-GB"/>
            </w:rPr>
            <w:t xml:space="preserve">, </w:t>
          </w:r>
          <w:r w:rsidRPr="00943049">
            <w:rPr>
              <w:rFonts w:asciiTheme="majorHAnsi" w:hAnsiTheme="majorHAnsi" w:cstheme="majorHAnsi"/>
              <w:i/>
              <w:iCs/>
              <w:lang w:val="en-GB"/>
            </w:rPr>
            <w:t>47</w:t>
          </w:r>
          <w:r w:rsidRPr="00943049">
            <w:rPr>
              <w:rFonts w:asciiTheme="majorHAnsi" w:hAnsiTheme="majorHAnsi" w:cstheme="majorHAnsi"/>
              <w:lang w:val="en-GB"/>
            </w:rPr>
            <w:t>, 1–15. https://doi.org/10.1016/j.neubiorev.2014.07.007</w:t>
          </w:r>
        </w:p>
        <w:p w14:paraId="32027988" w14:textId="77777777" w:rsidR="00294565" w:rsidRPr="00943049" w:rsidRDefault="00294565" w:rsidP="00943049">
          <w:pPr>
            <w:pStyle w:val="Bibliography"/>
            <w:rPr>
              <w:rFonts w:asciiTheme="majorHAnsi" w:hAnsiTheme="majorHAnsi" w:cstheme="majorHAnsi"/>
              <w:lang w:val="en-GB"/>
            </w:rPr>
          </w:pPr>
          <w:r w:rsidRPr="00943049">
            <w:rPr>
              <w:rFonts w:asciiTheme="majorHAnsi" w:hAnsiTheme="majorHAnsi" w:cstheme="majorHAnsi"/>
              <w:lang w:val="en-GB"/>
            </w:rPr>
            <w:t xml:space="preserve">Osborn, A. J., Mathias, J. L., &amp; Fairweather-Schmidt, A. K. (2016). Prevalence of anxiety following adult traumatic brain injury: A meta-analysis comparing measures, samples and postinjury intervals. </w:t>
          </w:r>
          <w:r w:rsidRPr="00943049">
            <w:rPr>
              <w:rFonts w:asciiTheme="majorHAnsi" w:hAnsiTheme="majorHAnsi" w:cstheme="majorHAnsi"/>
              <w:i/>
              <w:iCs/>
              <w:lang w:val="en-GB"/>
            </w:rPr>
            <w:t>Neuropsychology</w:t>
          </w:r>
          <w:r w:rsidRPr="00943049">
            <w:rPr>
              <w:rFonts w:asciiTheme="majorHAnsi" w:hAnsiTheme="majorHAnsi" w:cstheme="majorHAnsi"/>
              <w:lang w:val="en-GB"/>
            </w:rPr>
            <w:t xml:space="preserve">, </w:t>
          </w:r>
          <w:r w:rsidRPr="00943049">
            <w:rPr>
              <w:rFonts w:asciiTheme="majorHAnsi" w:hAnsiTheme="majorHAnsi" w:cstheme="majorHAnsi"/>
              <w:i/>
              <w:iCs/>
              <w:lang w:val="en-GB"/>
            </w:rPr>
            <w:t>30</w:t>
          </w:r>
          <w:r w:rsidRPr="00943049">
            <w:rPr>
              <w:rFonts w:asciiTheme="majorHAnsi" w:hAnsiTheme="majorHAnsi" w:cstheme="majorHAnsi"/>
              <w:lang w:val="en-GB"/>
            </w:rPr>
            <w:t>(2), 247–261. https://doi.org/10.1037/neu0000221</w:t>
          </w:r>
        </w:p>
        <w:p w14:paraId="29DE7B23" w14:textId="77777777" w:rsidR="00943049" w:rsidRPr="00943049" w:rsidRDefault="0045379A" w:rsidP="00943049">
          <w:pPr>
            <w:ind w:left="720" w:hanging="720"/>
            <w:rPr>
              <w:rFonts w:asciiTheme="majorHAnsi" w:hAnsiTheme="majorHAnsi" w:cstheme="majorHAnsi"/>
            </w:rPr>
          </w:pPr>
          <w:r w:rsidRPr="00943049">
            <w:rPr>
              <w:rFonts w:asciiTheme="majorHAnsi" w:hAnsiTheme="majorHAnsi" w:cstheme="majorHAnsi"/>
            </w:rPr>
            <w:t xml:space="preserve">Ouellet, M.-C., Beaulieu-Bonneau, S., Sirois, M.-J., Savard, J., Turgeon, A. F., Moore, L., Swaine, B., Roy, J., Giguère, M., &amp; Laviolette, V. (2018). Depression in the First Year after Traumatic Brain Injury. </w:t>
          </w:r>
          <w:r w:rsidRPr="00943049">
            <w:rPr>
              <w:rFonts w:asciiTheme="majorHAnsi" w:hAnsiTheme="majorHAnsi" w:cstheme="majorHAnsi"/>
              <w:i/>
              <w:iCs/>
            </w:rPr>
            <w:t>Journal of Neurotrauma</w:t>
          </w:r>
          <w:r w:rsidRPr="00943049">
            <w:rPr>
              <w:rFonts w:asciiTheme="majorHAnsi" w:hAnsiTheme="majorHAnsi" w:cstheme="majorHAnsi"/>
            </w:rPr>
            <w:t xml:space="preserve">, </w:t>
          </w:r>
          <w:r w:rsidRPr="00943049">
            <w:rPr>
              <w:rFonts w:asciiTheme="majorHAnsi" w:hAnsiTheme="majorHAnsi" w:cstheme="majorHAnsi"/>
              <w:i/>
              <w:iCs/>
            </w:rPr>
            <w:t>35</w:t>
          </w:r>
          <w:r w:rsidRPr="00943049">
            <w:rPr>
              <w:rFonts w:asciiTheme="majorHAnsi" w:hAnsiTheme="majorHAnsi" w:cstheme="majorHAnsi"/>
            </w:rPr>
            <w:t>(14), 1620–1629. https://doi.org/10.1089/neu.2017.5379</w:t>
          </w:r>
        </w:p>
        <w:p w14:paraId="0A0E7371" w14:textId="64C23086" w:rsidR="00943049" w:rsidRPr="00943049" w:rsidRDefault="00943049" w:rsidP="00943049">
          <w:pPr>
            <w:ind w:left="720" w:hanging="720"/>
            <w:rPr>
              <w:rFonts w:asciiTheme="majorHAnsi" w:hAnsiTheme="majorHAnsi" w:cstheme="majorHAnsi"/>
            </w:rPr>
          </w:pPr>
          <w:r w:rsidRPr="00943049">
            <w:rPr>
              <w:rFonts w:asciiTheme="majorHAnsi" w:hAnsiTheme="majorHAnsi" w:cstheme="majorHAnsi"/>
              <w:shd w:val="clear" w:color="auto" w:fill="FFFFFF"/>
            </w:rPr>
            <w:lastRenderedPageBreak/>
            <w:t>Peixoto, E. M., Oliveira, K. D. S., Campos, C. R., Gagnon, J., Zanini, D. S., Nakano, T. D. C., &amp; Bueno, J. M. H. (2022). DASS-21: assessment of psychological distress through the Bifactor Model and item analysis. </w:t>
          </w:r>
          <w:proofErr w:type="spellStart"/>
          <w:r w:rsidRPr="00943049">
            <w:rPr>
              <w:rFonts w:asciiTheme="majorHAnsi" w:hAnsiTheme="majorHAnsi" w:cstheme="majorHAnsi"/>
              <w:i/>
              <w:iCs/>
              <w:shd w:val="clear" w:color="auto" w:fill="FFFFFF"/>
            </w:rPr>
            <w:t>Psico</w:t>
          </w:r>
          <w:proofErr w:type="spellEnd"/>
          <w:r w:rsidRPr="00943049">
            <w:rPr>
              <w:rFonts w:asciiTheme="majorHAnsi" w:hAnsiTheme="majorHAnsi" w:cstheme="majorHAnsi"/>
              <w:i/>
              <w:iCs/>
              <w:shd w:val="clear" w:color="auto" w:fill="FFFFFF"/>
            </w:rPr>
            <w:t>-USF</w:t>
          </w:r>
          <w:r w:rsidRPr="00943049">
            <w:rPr>
              <w:rFonts w:asciiTheme="majorHAnsi" w:hAnsiTheme="majorHAnsi" w:cstheme="majorHAnsi"/>
              <w:shd w:val="clear" w:color="auto" w:fill="FFFFFF"/>
            </w:rPr>
            <w:t>, </w:t>
          </w:r>
          <w:r w:rsidRPr="00943049">
            <w:rPr>
              <w:rFonts w:asciiTheme="majorHAnsi" w:hAnsiTheme="majorHAnsi" w:cstheme="majorHAnsi"/>
              <w:i/>
              <w:iCs/>
              <w:shd w:val="clear" w:color="auto" w:fill="FFFFFF"/>
            </w:rPr>
            <w:t>26</w:t>
          </w:r>
          <w:r w:rsidRPr="00943049">
            <w:rPr>
              <w:rFonts w:asciiTheme="majorHAnsi" w:hAnsiTheme="majorHAnsi" w:cstheme="majorHAnsi"/>
              <w:shd w:val="clear" w:color="auto" w:fill="FFFFFF"/>
            </w:rPr>
            <w:t>(4), 757</w:t>
          </w:r>
          <w:r w:rsidRPr="00943049">
            <w:rPr>
              <w:rFonts w:asciiTheme="majorHAnsi" w:hAnsiTheme="majorHAnsi" w:cstheme="majorHAnsi"/>
              <w:lang w:val="en-GB"/>
            </w:rPr>
            <w:t>–</w:t>
          </w:r>
          <w:r w:rsidRPr="00943049">
            <w:rPr>
              <w:rFonts w:asciiTheme="majorHAnsi" w:hAnsiTheme="majorHAnsi" w:cstheme="majorHAnsi"/>
              <w:shd w:val="clear" w:color="auto" w:fill="FFFFFF"/>
            </w:rPr>
            <w:t>769. https://doi.org/</w:t>
          </w:r>
          <w:r w:rsidRPr="00943049">
            <w:rPr>
              <w:rFonts w:asciiTheme="majorHAnsi" w:hAnsiTheme="majorHAnsi" w:cstheme="majorHAnsi"/>
              <w:bdr w:val="none" w:sz="0" w:space="0" w:color="auto" w:frame="1"/>
            </w:rPr>
            <w:t>10.1590/1413-82712021260413</w:t>
          </w:r>
        </w:p>
        <w:p w14:paraId="566BA191" w14:textId="77777777" w:rsidR="00294565" w:rsidRPr="00943049" w:rsidRDefault="00294565" w:rsidP="00943049">
          <w:pPr>
            <w:pStyle w:val="Bibliography"/>
            <w:rPr>
              <w:rFonts w:asciiTheme="majorHAnsi" w:hAnsiTheme="majorHAnsi" w:cstheme="majorHAnsi"/>
              <w:lang w:val="en-GB"/>
            </w:rPr>
          </w:pPr>
          <w:r w:rsidRPr="00943049">
            <w:rPr>
              <w:rFonts w:asciiTheme="majorHAnsi" w:hAnsiTheme="majorHAnsi" w:cstheme="majorHAnsi"/>
              <w:lang w:val="en-GB"/>
            </w:rPr>
            <w:t xml:space="preserve">R Core Team. (2021). </w:t>
          </w:r>
          <w:r w:rsidRPr="00943049">
            <w:rPr>
              <w:rFonts w:asciiTheme="majorHAnsi" w:hAnsiTheme="majorHAnsi" w:cstheme="majorHAnsi"/>
              <w:i/>
              <w:iCs/>
              <w:lang w:val="en-GB"/>
            </w:rPr>
            <w:t xml:space="preserve">R: A language and environment for statistical computing </w:t>
          </w:r>
          <w:r w:rsidRPr="00943049">
            <w:rPr>
              <w:rFonts w:asciiTheme="majorHAnsi" w:hAnsiTheme="majorHAnsi" w:cstheme="majorHAnsi"/>
              <w:lang w:val="en-GB"/>
            </w:rPr>
            <w:t>(Version 4.04) [Computer software]</w:t>
          </w:r>
          <w:r w:rsidRPr="00943049">
            <w:rPr>
              <w:rFonts w:asciiTheme="majorHAnsi" w:hAnsiTheme="majorHAnsi" w:cstheme="majorHAnsi"/>
              <w:i/>
              <w:iCs/>
              <w:lang w:val="en-GB"/>
            </w:rPr>
            <w:t xml:space="preserve">. </w:t>
          </w:r>
          <w:hyperlink r:id="rId23" w:history="1">
            <w:r w:rsidRPr="00943049">
              <w:rPr>
                <w:rStyle w:val="Hyperlink"/>
                <w:rFonts w:asciiTheme="majorHAnsi" w:hAnsiTheme="majorHAnsi" w:cstheme="majorHAnsi"/>
                <w:color w:val="auto"/>
                <w:u w:val="none"/>
                <w:lang w:val="en-GB"/>
              </w:rPr>
              <w:t>https://www.R-project.org/</w:t>
            </w:r>
          </w:hyperlink>
        </w:p>
        <w:p w14:paraId="7A221F13" w14:textId="77777777" w:rsidR="00294565" w:rsidRPr="00943049" w:rsidRDefault="00294565" w:rsidP="00943049">
          <w:pPr>
            <w:pStyle w:val="Bibliography"/>
            <w:rPr>
              <w:rFonts w:asciiTheme="majorHAnsi" w:hAnsiTheme="majorHAnsi" w:cstheme="majorHAnsi"/>
              <w:lang w:val="en-GB"/>
            </w:rPr>
          </w:pPr>
          <w:r w:rsidRPr="00943049">
            <w:rPr>
              <w:rFonts w:asciiTheme="majorHAnsi" w:eastAsia="Times New Roman" w:hAnsiTheme="majorHAnsi" w:cstheme="majorHAnsi"/>
              <w:kern w:val="0"/>
              <w:shd w:val="clear" w:color="auto" w:fill="FFFFFF"/>
              <w:lang w:val="en-AU" w:eastAsia="en-GB"/>
            </w:rPr>
            <w:t>Randall, D., Thomas, M., Whiting, D., &amp; McGrath, A. (2017). Depression Anxiety Stress Scales (DASS21): Factor Structure in Traumatic Brain Injury Rehabilitation. </w:t>
          </w:r>
          <w:r w:rsidRPr="00943049">
            <w:rPr>
              <w:rFonts w:asciiTheme="majorHAnsi" w:eastAsia="Times New Roman" w:hAnsiTheme="majorHAnsi" w:cstheme="majorHAnsi"/>
              <w:i/>
              <w:iCs/>
              <w:kern w:val="0"/>
              <w:lang w:val="en-AU" w:eastAsia="en-GB"/>
            </w:rPr>
            <w:t>The Journal of Head Trauma Rehabilitation</w:t>
          </w:r>
          <w:r w:rsidRPr="00943049">
            <w:rPr>
              <w:rFonts w:asciiTheme="majorHAnsi" w:eastAsia="Times New Roman" w:hAnsiTheme="majorHAnsi" w:cstheme="majorHAnsi"/>
              <w:kern w:val="0"/>
              <w:shd w:val="clear" w:color="auto" w:fill="FFFFFF"/>
              <w:lang w:val="en-AU" w:eastAsia="en-GB"/>
            </w:rPr>
            <w:t>, </w:t>
          </w:r>
          <w:r w:rsidRPr="00943049">
            <w:rPr>
              <w:rFonts w:asciiTheme="majorHAnsi" w:eastAsia="Times New Roman" w:hAnsiTheme="majorHAnsi" w:cstheme="majorHAnsi"/>
              <w:i/>
              <w:iCs/>
              <w:kern w:val="0"/>
              <w:lang w:val="en-AU" w:eastAsia="en-GB"/>
            </w:rPr>
            <w:t>32</w:t>
          </w:r>
          <w:r w:rsidRPr="00943049">
            <w:rPr>
              <w:rFonts w:asciiTheme="majorHAnsi" w:eastAsia="Times New Roman" w:hAnsiTheme="majorHAnsi" w:cstheme="majorHAnsi"/>
              <w:kern w:val="0"/>
              <w:shd w:val="clear" w:color="auto" w:fill="FFFFFF"/>
              <w:lang w:val="en-AU" w:eastAsia="en-GB"/>
            </w:rPr>
            <w:t>(2), 134–144. https://doi.org/10.1097/HTR.0000000000000250</w:t>
          </w:r>
        </w:p>
        <w:p w14:paraId="0A0F0F38" w14:textId="77777777" w:rsidR="00294565" w:rsidRPr="00943049" w:rsidRDefault="00294565" w:rsidP="00943049">
          <w:pPr>
            <w:pStyle w:val="Bibliography"/>
            <w:rPr>
              <w:rFonts w:asciiTheme="majorHAnsi" w:hAnsiTheme="majorHAnsi" w:cstheme="majorHAnsi"/>
              <w:lang w:val="en-GB"/>
            </w:rPr>
          </w:pPr>
          <w:r w:rsidRPr="00943049">
            <w:rPr>
              <w:rFonts w:asciiTheme="majorHAnsi" w:hAnsiTheme="majorHAnsi" w:cstheme="majorHAnsi"/>
              <w:lang w:val="en-GB"/>
            </w:rPr>
            <w:t xml:space="preserve">Reise, S. P., Bonifay, W. E., &amp; Haviland, M. G. (2013). Scoring and modeling psychological measures in the presence of multidimensionality. </w:t>
          </w:r>
          <w:r w:rsidRPr="00943049">
            <w:rPr>
              <w:rFonts w:asciiTheme="majorHAnsi" w:hAnsiTheme="majorHAnsi" w:cstheme="majorHAnsi"/>
              <w:i/>
              <w:iCs/>
              <w:lang w:val="en-GB"/>
            </w:rPr>
            <w:t>Journal of Personality Assessment</w:t>
          </w:r>
          <w:r w:rsidRPr="00943049">
            <w:rPr>
              <w:rFonts w:asciiTheme="majorHAnsi" w:hAnsiTheme="majorHAnsi" w:cstheme="majorHAnsi"/>
              <w:lang w:val="en-GB"/>
            </w:rPr>
            <w:t xml:space="preserve">, </w:t>
          </w:r>
          <w:r w:rsidRPr="00943049">
            <w:rPr>
              <w:rFonts w:asciiTheme="majorHAnsi" w:hAnsiTheme="majorHAnsi" w:cstheme="majorHAnsi"/>
              <w:i/>
              <w:iCs/>
              <w:lang w:val="en-GB"/>
            </w:rPr>
            <w:t>95</w:t>
          </w:r>
          <w:r w:rsidRPr="00943049">
            <w:rPr>
              <w:rFonts w:asciiTheme="majorHAnsi" w:hAnsiTheme="majorHAnsi" w:cstheme="majorHAnsi"/>
              <w:lang w:val="en-GB"/>
            </w:rPr>
            <w:t>(2), 129–140. https://doi.org/10.1080/00223891.2012.725437</w:t>
          </w:r>
        </w:p>
        <w:p w14:paraId="24D8924E" w14:textId="77777777" w:rsidR="0045379A" w:rsidRPr="00943049" w:rsidRDefault="00294565" w:rsidP="00943049">
          <w:pPr>
            <w:pStyle w:val="Bibliography"/>
            <w:rPr>
              <w:rFonts w:asciiTheme="majorHAnsi" w:hAnsiTheme="majorHAnsi" w:cstheme="majorHAnsi"/>
              <w:lang w:val="en-GB"/>
            </w:rPr>
          </w:pPr>
          <w:r w:rsidRPr="00943049">
            <w:rPr>
              <w:rFonts w:asciiTheme="majorHAnsi" w:hAnsiTheme="majorHAnsi" w:cstheme="majorHAnsi"/>
              <w:lang w:val="en-GB"/>
            </w:rPr>
            <w:t xml:space="preserve">Reise, S. P., Morizot, J., &amp; Hays, R. D. (2007). The role of the bifactor model in resolving dimensionality issues in health outcomes measures. </w:t>
          </w:r>
          <w:r w:rsidRPr="00943049">
            <w:rPr>
              <w:rFonts w:asciiTheme="majorHAnsi" w:hAnsiTheme="majorHAnsi" w:cstheme="majorHAnsi"/>
              <w:i/>
              <w:iCs/>
              <w:lang w:val="en-GB"/>
            </w:rPr>
            <w:t>Quality of Life Research</w:t>
          </w:r>
          <w:r w:rsidRPr="00943049">
            <w:rPr>
              <w:rFonts w:asciiTheme="majorHAnsi" w:hAnsiTheme="majorHAnsi" w:cstheme="majorHAnsi"/>
              <w:lang w:val="en-GB"/>
            </w:rPr>
            <w:t xml:space="preserve">, </w:t>
          </w:r>
          <w:r w:rsidRPr="00943049">
            <w:rPr>
              <w:rFonts w:asciiTheme="majorHAnsi" w:hAnsiTheme="majorHAnsi" w:cstheme="majorHAnsi"/>
              <w:i/>
              <w:iCs/>
              <w:lang w:val="en-GB"/>
            </w:rPr>
            <w:t>16</w:t>
          </w:r>
          <w:r w:rsidRPr="00943049">
            <w:rPr>
              <w:rFonts w:asciiTheme="majorHAnsi" w:hAnsiTheme="majorHAnsi" w:cstheme="majorHAnsi"/>
              <w:lang w:val="en-GB"/>
            </w:rPr>
            <w:t>(1), 19–31. https://doi.org/10.1007/s11136-007-9183-7</w:t>
          </w:r>
        </w:p>
        <w:p w14:paraId="3EFAB282" w14:textId="518DB32B" w:rsidR="0045379A" w:rsidRPr="00943049" w:rsidRDefault="0045379A" w:rsidP="00943049">
          <w:pPr>
            <w:pStyle w:val="Bibliography"/>
            <w:rPr>
              <w:rFonts w:asciiTheme="majorHAnsi" w:hAnsiTheme="majorHAnsi" w:cstheme="majorHAnsi"/>
              <w:lang w:val="en-GB"/>
            </w:rPr>
          </w:pPr>
          <w:r w:rsidRPr="00943049">
            <w:rPr>
              <w:rFonts w:asciiTheme="majorHAnsi" w:hAnsiTheme="majorHAnsi" w:cstheme="majorHAnsi"/>
              <w:shd w:val="clear" w:color="auto" w:fill="FFFFFF"/>
            </w:rPr>
            <w:t>Reise, S. P., Kim, D. S., Mansolf, M., &amp; Widaman, K. F. (2016). Is the bifactor model a better model or is it just better at modeling implausible responses? Application of iteratively reweighted least squares to the Rosenberg Self-Esteem Scale. </w:t>
          </w:r>
          <w:r w:rsidRPr="00943049">
            <w:rPr>
              <w:rFonts w:asciiTheme="majorHAnsi" w:hAnsiTheme="majorHAnsi" w:cstheme="majorHAnsi"/>
              <w:i/>
              <w:iCs/>
              <w:shd w:val="clear" w:color="auto" w:fill="FFFFFF"/>
            </w:rPr>
            <w:t>Multivariate Behavioral Research</w:t>
          </w:r>
          <w:r w:rsidRPr="00943049">
            <w:rPr>
              <w:rFonts w:asciiTheme="majorHAnsi" w:hAnsiTheme="majorHAnsi" w:cstheme="majorHAnsi"/>
              <w:shd w:val="clear" w:color="auto" w:fill="FFFFFF"/>
            </w:rPr>
            <w:t>, </w:t>
          </w:r>
          <w:r w:rsidRPr="00943049">
            <w:rPr>
              <w:rFonts w:asciiTheme="majorHAnsi" w:hAnsiTheme="majorHAnsi" w:cstheme="majorHAnsi"/>
              <w:i/>
              <w:iCs/>
              <w:shd w:val="clear" w:color="auto" w:fill="FFFFFF"/>
            </w:rPr>
            <w:t>51</w:t>
          </w:r>
          <w:r w:rsidRPr="00943049">
            <w:rPr>
              <w:rFonts w:asciiTheme="majorHAnsi" w:hAnsiTheme="majorHAnsi" w:cstheme="majorHAnsi"/>
              <w:shd w:val="clear" w:color="auto" w:fill="FFFFFF"/>
            </w:rPr>
            <w:t>(6), 818</w:t>
          </w:r>
          <w:r w:rsidRPr="00943049">
            <w:rPr>
              <w:rFonts w:asciiTheme="majorHAnsi" w:hAnsiTheme="majorHAnsi" w:cstheme="majorHAnsi"/>
              <w:lang w:val="en-GB"/>
            </w:rPr>
            <w:t>–</w:t>
          </w:r>
          <w:r w:rsidRPr="00943049">
            <w:rPr>
              <w:rFonts w:asciiTheme="majorHAnsi" w:hAnsiTheme="majorHAnsi" w:cstheme="majorHAnsi"/>
              <w:shd w:val="clear" w:color="auto" w:fill="FFFFFF"/>
            </w:rPr>
            <w:t xml:space="preserve">838. </w:t>
          </w:r>
          <w:r w:rsidRPr="00943049">
            <w:rPr>
              <w:rFonts w:asciiTheme="majorHAnsi" w:hAnsiTheme="majorHAnsi" w:cstheme="majorHAnsi"/>
            </w:rPr>
            <w:t>https://doi.org/10.1080/00273171.2016.1243461</w:t>
          </w:r>
        </w:p>
        <w:p w14:paraId="4B4A47C0" w14:textId="77777777" w:rsidR="00294565" w:rsidRPr="00943049" w:rsidRDefault="00294565" w:rsidP="00943049">
          <w:pPr>
            <w:pStyle w:val="Bibliography"/>
            <w:rPr>
              <w:rFonts w:asciiTheme="majorHAnsi" w:hAnsiTheme="majorHAnsi" w:cstheme="majorHAnsi"/>
              <w:lang w:val="en-GB"/>
            </w:rPr>
          </w:pPr>
          <w:r w:rsidRPr="00943049">
            <w:rPr>
              <w:rFonts w:asciiTheme="majorHAnsi" w:hAnsiTheme="majorHAnsi" w:cstheme="majorHAnsi"/>
              <w:lang w:val="en-GB"/>
            </w:rPr>
            <w:t xml:space="preserve">Rodriguez, A., Reise, S. P., &amp; Haviland, M. G. (2016a). Applying bifactor statistical indices in the evaluation of psychological measures. </w:t>
          </w:r>
          <w:r w:rsidRPr="00943049">
            <w:rPr>
              <w:rFonts w:asciiTheme="majorHAnsi" w:hAnsiTheme="majorHAnsi" w:cstheme="majorHAnsi"/>
              <w:i/>
              <w:iCs/>
              <w:lang w:val="en-GB"/>
            </w:rPr>
            <w:t>Journal of Personality Assessment</w:t>
          </w:r>
          <w:r w:rsidRPr="00943049">
            <w:rPr>
              <w:rFonts w:asciiTheme="majorHAnsi" w:hAnsiTheme="majorHAnsi" w:cstheme="majorHAnsi"/>
              <w:lang w:val="en-GB"/>
            </w:rPr>
            <w:t xml:space="preserve">, </w:t>
          </w:r>
          <w:r w:rsidRPr="00943049">
            <w:rPr>
              <w:rFonts w:asciiTheme="majorHAnsi" w:hAnsiTheme="majorHAnsi" w:cstheme="majorHAnsi"/>
              <w:i/>
              <w:iCs/>
              <w:lang w:val="en-GB"/>
            </w:rPr>
            <w:t>98</w:t>
          </w:r>
          <w:r w:rsidRPr="00943049">
            <w:rPr>
              <w:rFonts w:asciiTheme="majorHAnsi" w:hAnsiTheme="majorHAnsi" w:cstheme="majorHAnsi"/>
              <w:lang w:val="en-GB"/>
            </w:rPr>
            <w:t>(3), 223–237. https://doi.org/10.1080/00223891.2015.1089249</w:t>
          </w:r>
        </w:p>
        <w:p w14:paraId="7BAF674A" w14:textId="77777777" w:rsidR="00294565" w:rsidRPr="00943049" w:rsidRDefault="00294565" w:rsidP="00943049">
          <w:pPr>
            <w:pStyle w:val="Bibliography"/>
            <w:rPr>
              <w:rFonts w:asciiTheme="majorHAnsi" w:hAnsiTheme="majorHAnsi" w:cstheme="majorHAnsi"/>
              <w:lang w:val="en-GB"/>
            </w:rPr>
          </w:pPr>
          <w:r w:rsidRPr="00943049">
            <w:rPr>
              <w:rFonts w:asciiTheme="majorHAnsi" w:hAnsiTheme="majorHAnsi" w:cstheme="majorHAnsi"/>
              <w:lang w:val="en-GB"/>
            </w:rPr>
            <w:lastRenderedPageBreak/>
            <w:t xml:space="preserve">Rodriguez, A., Reise, S. P., &amp; Haviland, M. G. (2016b). Evaluating bifactor models: Calculating and interpreting statistical indices. </w:t>
          </w:r>
          <w:r w:rsidRPr="00943049">
            <w:rPr>
              <w:rFonts w:asciiTheme="majorHAnsi" w:hAnsiTheme="majorHAnsi" w:cstheme="majorHAnsi"/>
              <w:i/>
              <w:iCs/>
              <w:lang w:val="en-GB"/>
            </w:rPr>
            <w:t>Psychological Methods</w:t>
          </w:r>
          <w:r w:rsidRPr="00943049">
            <w:rPr>
              <w:rFonts w:asciiTheme="majorHAnsi" w:hAnsiTheme="majorHAnsi" w:cstheme="majorHAnsi"/>
              <w:lang w:val="en-GB"/>
            </w:rPr>
            <w:t xml:space="preserve">, </w:t>
          </w:r>
          <w:r w:rsidRPr="00943049">
            <w:rPr>
              <w:rFonts w:asciiTheme="majorHAnsi" w:hAnsiTheme="majorHAnsi" w:cstheme="majorHAnsi"/>
              <w:i/>
              <w:iCs/>
              <w:lang w:val="en-GB"/>
            </w:rPr>
            <w:t>21</w:t>
          </w:r>
          <w:r w:rsidRPr="00943049">
            <w:rPr>
              <w:rFonts w:asciiTheme="majorHAnsi" w:hAnsiTheme="majorHAnsi" w:cstheme="majorHAnsi"/>
              <w:lang w:val="en-GB"/>
            </w:rPr>
            <w:t>(2), 137–150. https://doi.org/10.1037/met0000045</w:t>
          </w:r>
        </w:p>
        <w:p w14:paraId="131A7A39" w14:textId="77777777" w:rsidR="00294565" w:rsidRPr="00943049" w:rsidRDefault="00294565" w:rsidP="00943049">
          <w:pPr>
            <w:pStyle w:val="Bibliography"/>
            <w:rPr>
              <w:rStyle w:val="Hyperlink"/>
              <w:rFonts w:asciiTheme="majorHAnsi" w:eastAsia="Times New Roman" w:hAnsiTheme="majorHAnsi" w:cstheme="majorHAnsi"/>
              <w:color w:val="auto"/>
              <w:kern w:val="0"/>
              <w:u w:val="none"/>
              <w:shd w:val="clear" w:color="auto" w:fill="FFFFFF"/>
              <w:lang w:val="en-AU" w:eastAsia="en-GB"/>
            </w:rPr>
          </w:pPr>
          <w:r w:rsidRPr="00943049">
            <w:rPr>
              <w:rFonts w:asciiTheme="majorHAnsi" w:eastAsia="Times New Roman" w:hAnsiTheme="majorHAnsi" w:cstheme="majorHAnsi"/>
              <w:kern w:val="0"/>
              <w:shd w:val="clear" w:color="auto" w:fill="FFFFFF"/>
              <w:lang w:val="en-AU" w:eastAsia="en-GB"/>
            </w:rPr>
            <w:t>Rosseel, Y. (2012). lavaan: An R package for structural equation modeling. </w:t>
          </w:r>
          <w:r w:rsidRPr="00943049">
            <w:rPr>
              <w:rFonts w:asciiTheme="majorHAnsi" w:eastAsia="Times New Roman" w:hAnsiTheme="majorHAnsi" w:cstheme="majorHAnsi"/>
              <w:i/>
              <w:iCs/>
              <w:kern w:val="0"/>
              <w:lang w:val="en-AU" w:eastAsia="en-GB"/>
            </w:rPr>
            <w:t>Journal of Statistical Software</w:t>
          </w:r>
          <w:r w:rsidRPr="00943049">
            <w:rPr>
              <w:rFonts w:asciiTheme="majorHAnsi" w:eastAsia="Times New Roman" w:hAnsiTheme="majorHAnsi" w:cstheme="majorHAnsi"/>
              <w:kern w:val="0"/>
              <w:shd w:val="clear" w:color="auto" w:fill="FFFFFF"/>
              <w:lang w:val="en-AU" w:eastAsia="en-GB"/>
            </w:rPr>
            <w:t>, </w:t>
          </w:r>
          <w:r w:rsidRPr="00943049">
            <w:rPr>
              <w:rFonts w:asciiTheme="majorHAnsi" w:eastAsia="Times New Roman" w:hAnsiTheme="majorHAnsi" w:cstheme="majorHAnsi"/>
              <w:i/>
              <w:iCs/>
              <w:kern w:val="0"/>
              <w:lang w:val="en-AU" w:eastAsia="en-GB"/>
            </w:rPr>
            <w:t>48</w:t>
          </w:r>
          <w:r w:rsidRPr="00943049">
            <w:rPr>
              <w:rFonts w:asciiTheme="majorHAnsi" w:eastAsia="Times New Roman" w:hAnsiTheme="majorHAnsi" w:cstheme="majorHAnsi"/>
              <w:kern w:val="0"/>
              <w:shd w:val="clear" w:color="auto" w:fill="FFFFFF"/>
              <w:lang w:val="en-AU" w:eastAsia="en-GB"/>
            </w:rPr>
            <w:t xml:space="preserve">(2), 1–36. </w:t>
          </w:r>
          <w:hyperlink r:id="rId24" w:history="1">
            <w:r w:rsidRPr="00943049">
              <w:rPr>
                <w:rStyle w:val="Hyperlink"/>
                <w:rFonts w:asciiTheme="majorHAnsi" w:eastAsia="Times New Roman" w:hAnsiTheme="majorHAnsi" w:cstheme="majorHAnsi"/>
                <w:color w:val="auto"/>
                <w:kern w:val="0"/>
                <w:u w:val="none"/>
                <w:shd w:val="clear" w:color="auto" w:fill="FFFFFF"/>
                <w:lang w:val="en-AU" w:eastAsia="en-GB"/>
              </w:rPr>
              <w:t>https://doi.org/10.18637/jss.v048.i02</w:t>
            </w:r>
          </w:hyperlink>
        </w:p>
        <w:p w14:paraId="2AC39F71" w14:textId="77777777" w:rsidR="00943049" w:rsidRPr="00943049" w:rsidRDefault="00EB4A16" w:rsidP="00943049">
          <w:pPr>
            <w:widowControl w:val="0"/>
            <w:autoSpaceDE w:val="0"/>
            <w:autoSpaceDN w:val="0"/>
            <w:adjustRightInd w:val="0"/>
            <w:ind w:left="720" w:hanging="720"/>
            <w:rPr>
              <w:rFonts w:asciiTheme="majorHAnsi" w:hAnsiTheme="majorHAnsi" w:cstheme="majorHAnsi"/>
              <w:kern w:val="0"/>
            </w:rPr>
          </w:pPr>
          <w:r w:rsidRPr="00943049">
            <w:rPr>
              <w:rFonts w:asciiTheme="majorHAnsi" w:hAnsiTheme="majorHAnsi" w:cstheme="majorHAnsi"/>
              <w:kern w:val="0"/>
            </w:rPr>
            <w:t xml:space="preserve">Ruggero, C. J., Kotov, R., Hopwood, C. J., First, M., Clark, L. A., Skodol, A. E., Mullins-Sweatt, S. N., Patrick, C. J., Bach, B., Cicero, D. C., Docherty, A., Simms, L. J., Bagby, R. M., Krueger, R. F., Callahan, J. L., Chmielewski, M., Conway, C. C., De Clercq, B., Dornbach-Bender, A., … Zimmermann, J. (2019). Integrating the Hierarchical Taxonomy of Psychopathology (HiTOP) into clinical practice. </w:t>
          </w:r>
          <w:r w:rsidRPr="00943049">
            <w:rPr>
              <w:rFonts w:asciiTheme="majorHAnsi" w:hAnsiTheme="majorHAnsi" w:cstheme="majorHAnsi"/>
              <w:i/>
              <w:iCs/>
              <w:kern w:val="0"/>
            </w:rPr>
            <w:t>Journal of Consulting and Clinical Psychology</w:t>
          </w:r>
          <w:r w:rsidRPr="00943049">
            <w:rPr>
              <w:rFonts w:asciiTheme="majorHAnsi" w:hAnsiTheme="majorHAnsi" w:cstheme="majorHAnsi"/>
              <w:kern w:val="0"/>
            </w:rPr>
            <w:t xml:space="preserve">, </w:t>
          </w:r>
          <w:r w:rsidRPr="00943049">
            <w:rPr>
              <w:rFonts w:asciiTheme="majorHAnsi" w:hAnsiTheme="majorHAnsi" w:cstheme="majorHAnsi"/>
              <w:i/>
              <w:iCs/>
              <w:kern w:val="0"/>
            </w:rPr>
            <w:t>87</w:t>
          </w:r>
          <w:r w:rsidRPr="00943049">
            <w:rPr>
              <w:rFonts w:asciiTheme="majorHAnsi" w:hAnsiTheme="majorHAnsi" w:cstheme="majorHAnsi"/>
              <w:kern w:val="0"/>
            </w:rPr>
            <w:t>(12), 1069–1084. https://doi.org/10.1037/ccp0000452</w:t>
          </w:r>
        </w:p>
        <w:p w14:paraId="57FE770D" w14:textId="54CB499C" w:rsidR="00943049" w:rsidRPr="00943049" w:rsidRDefault="00943049" w:rsidP="00943049">
          <w:pPr>
            <w:widowControl w:val="0"/>
            <w:autoSpaceDE w:val="0"/>
            <w:autoSpaceDN w:val="0"/>
            <w:adjustRightInd w:val="0"/>
            <w:ind w:left="720" w:hanging="720"/>
            <w:rPr>
              <w:rFonts w:asciiTheme="majorHAnsi" w:hAnsiTheme="majorHAnsi" w:cstheme="majorHAnsi"/>
              <w:kern w:val="0"/>
            </w:rPr>
          </w:pPr>
          <w:r w:rsidRPr="00943049">
            <w:rPr>
              <w:rFonts w:asciiTheme="majorHAnsi" w:hAnsiTheme="majorHAnsi" w:cstheme="majorHAnsi"/>
              <w:shd w:val="clear" w:color="auto" w:fill="FFFFFF"/>
            </w:rPr>
            <w:t>Shaw, T., Campbell, M. A., Runions, K. C., &amp; Zubrick, S. (2017). Properties of the DASS‐21 in an Australian community adolescent population. </w:t>
          </w:r>
          <w:r w:rsidRPr="00943049">
            <w:rPr>
              <w:rFonts w:asciiTheme="majorHAnsi" w:hAnsiTheme="majorHAnsi" w:cstheme="majorHAnsi"/>
              <w:i/>
              <w:iCs/>
              <w:shd w:val="clear" w:color="auto" w:fill="FFFFFF"/>
            </w:rPr>
            <w:t>Journal of Clinical Psychology</w:t>
          </w:r>
          <w:r w:rsidRPr="00943049">
            <w:rPr>
              <w:rFonts w:asciiTheme="majorHAnsi" w:hAnsiTheme="majorHAnsi" w:cstheme="majorHAnsi"/>
              <w:shd w:val="clear" w:color="auto" w:fill="FFFFFF"/>
            </w:rPr>
            <w:t>, </w:t>
          </w:r>
          <w:r w:rsidRPr="00943049">
            <w:rPr>
              <w:rFonts w:asciiTheme="majorHAnsi" w:hAnsiTheme="majorHAnsi" w:cstheme="majorHAnsi"/>
              <w:i/>
              <w:iCs/>
              <w:shd w:val="clear" w:color="auto" w:fill="FFFFFF"/>
            </w:rPr>
            <w:t>73</w:t>
          </w:r>
          <w:r w:rsidRPr="00943049">
            <w:rPr>
              <w:rFonts w:asciiTheme="majorHAnsi" w:hAnsiTheme="majorHAnsi" w:cstheme="majorHAnsi"/>
              <w:shd w:val="clear" w:color="auto" w:fill="FFFFFF"/>
            </w:rPr>
            <w:t>(7), 879</w:t>
          </w:r>
          <w:r w:rsidRPr="00943049">
            <w:rPr>
              <w:rFonts w:asciiTheme="majorHAnsi" w:hAnsiTheme="majorHAnsi" w:cstheme="majorHAnsi"/>
              <w:kern w:val="0"/>
            </w:rPr>
            <w:t>–</w:t>
          </w:r>
          <w:r w:rsidRPr="00943049">
            <w:rPr>
              <w:rFonts w:asciiTheme="majorHAnsi" w:hAnsiTheme="majorHAnsi" w:cstheme="majorHAnsi"/>
              <w:shd w:val="clear" w:color="auto" w:fill="FFFFFF"/>
            </w:rPr>
            <w:t>892. https://doi.org/10.1002/jclp.22376</w:t>
          </w:r>
        </w:p>
        <w:p w14:paraId="79CF8564" w14:textId="77777777" w:rsidR="00294565" w:rsidRPr="00943049" w:rsidRDefault="00294565" w:rsidP="00943049">
          <w:pPr>
            <w:ind w:left="720" w:hanging="720"/>
            <w:rPr>
              <w:rFonts w:asciiTheme="majorHAnsi" w:hAnsiTheme="majorHAnsi" w:cstheme="majorHAnsi"/>
              <w:noProof/>
            </w:rPr>
          </w:pPr>
          <w:r w:rsidRPr="00943049">
            <w:rPr>
              <w:rFonts w:asciiTheme="majorHAnsi" w:hAnsiTheme="majorHAnsi" w:cstheme="majorHAnsi"/>
              <w:noProof/>
            </w:rPr>
            <w:t xml:space="preserve">Shields, C., Ownsworth, T., O’Donovan, A., &amp; Fleming, J. (2016). A transdiagnostic investigation of emotional distress after traumatic brain injury. </w:t>
          </w:r>
          <w:r w:rsidRPr="00943049">
            <w:rPr>
              <w:rFonts w:asciiTheme="majorHAnsi" w:hAnsiTheme="majorHAnsi" w:cstheme="majorHAnsi"/>
              <w:i/>
              <w:noProof/>
            </w:rPr>
            <w:t>Neuropsychological Rehabilitation</w:t>
          </w:r>
          <w:r w:rsidRPr="00943049">
            <w:rPr>
              <w:rFonts w:asciiTheme="majorHAnsi" w:hAnsiTheme="majorHAnsi" w:cstheme="majorHAnsi"/>
              <w:noProof/>
            </w:rPr>
            <w:t xml:space="preserve">, </w:t>
          </w:r>
          <w:r w:rsidRPr="00943049">
            <w:rPr>
              <w:rFonts w:asciiTheme="majorHAnsi" w:hAnsiTheme="majorHAnsi" w:cstheme="majorHAnsi"/>
              <w:i/>
              <w:noProof/>
            </w:rPr>
            <w:t>26</w:t>
          </w:r>
          <w:r w:rsidRPr="00943049">
            <w:rPr>
              <w:rFonts w:asciiTheme="majorHAnsi" w:hAnsiTheme="majorHAnsi" w:cstheme="majorHAnsi"/>
              <w:noProof/>
            </w:rPr>
            <w:t>(3), 410–445. https://doi.org/10.1080/09602011.2015.1037772</w:t>
          </w:r>
        </w:p>
        <w:p w14:paraId="2F417DC9" w14:textId="2E2596F5" w:rsidR="0045379A" w:rsidRPr="00943049" w:rsidRDefault="0045379A" w:rsidP="00943049">
          <w:pPr>
            <w:widowControl w:val="0"/>
            <w:autoSpaceDE w:val="0"/>
            <w:autoSpaceDN w:val="0"/>
            <w:adjustRightInd w:val="0"/>
            <w:ind w:left="720" w:hanging="720"/>
            <w:rPr>
              <w:rFonts w:asciiTheme="majorHAnsi" w:hAnsiTheme="majorHAnsi" w:cstheme="majorHAnsi"/>
            </w:rPr>
          </w:pPr>
          <w:r w:rsidRPr="00943049">
            <w:rPr>
              <w:rFonts w:asciiTheme="majorHAnsi" w:hAnsiTheme="majorHAnsi" w:cstheme="majorHAnsi"/>
            </w:rPr>
            <w:t>Simms, L. J., Grös, D. F., Watson, D., &amp; O'Hara, M. W. (2008). Parsing the general and specific components of depression and anxiety with bifactor modeling. </w:t>
          </w:r>
          <w:r w:rsidRPr="00943049">
            <w:rPr>
              <w:rFonts w:asciiTheme="majorHAnsi" w:hAnsiTheme="majorHAnsi" w:cstheme="majorHAnsi"/>
              <w:i/>
              <w:iCs/>
            </w:rPr>
            <w:t>Depression and Anxiety</w:t>
          </w:r>
          <w:r w:rsidRPr="00943049">
            <w:rPr>
              <w:rFonts w:asciiTheme="majorHAnsi" w:hAnsiTheme="majorHAnsi" w:cstheme="majorHAnsi"/>
            </w:rPr>
            <w:t>, </w:t>
          </w:r>
          <w:r w:rsidRPr="00943049">
            <w:rPr>
              <w:rFonts w:asciiTheme="majorHAnsi" w:hAnsiTheme="majorHAnsi" w:cstheme="majorHAnsi"/>
              <w:i/>
              <w:iCs/>
            </w:rPr>
            <w:t>25</w:t>
          </w:r>
          <w:r w:rsidRPr="00943049">
            <w:rPr>
              <w:rFonts w:asciiTheme="majorHAnsi" w:hAnsiTheme="majorHAnsi" w:cstheme="majorHAnsi"/>
            </w:rPr>
            <w:t>(7), E34–E46. https://doi.org/10.1002/da.20432</w:t>
          </w:r>
        </w:p>
        <w:p w14:paraId="3EC71B2F" w14:textId="77777777" w:rsidR="0045379A" w:rsidRPr="00943049" w:rsidRDefault="00294565" w:rsidP="00943049">
          <w:pPr>
            <w:pStyle w:val="Bibliography"/>
            <w:rPr>
              <w:rFonts w:asciiTheme="majorHAnsi" w:hAnsiTheme="majorHAnsi" w:cstheme="majorHAnsi"/>
              <w:lang w:val="en-GB"/>
            </w:rPr>
          </w:pPr>
          <w:r w:rsidRPr="00943049">
            <w:rPr>
              <w:rFonts w:asciiTheme="majorHAnsi" w:hAnsiTheme="majorHAnsi" w:cstheme="majorHAnsi"/>
              <w:lang w:val="en-GB"/>
            </w:rPr>
            <w:t xml:space="preserve">Sinclair, S. J., Siefert, C. J., Slavin-Mulford, J. M., Stein, M. B., Renna, M., &amp; Blais, M. A. (2012). Psychometric evaluation and normative data for the Depression, Anxiety, and Stress Scales-21 (DASS21) in a nonclinical sample of U.S. adults. </w:t>
          </w:r>
          <w:r w:rsidRPr="00943049">
            <w:rPr>
              <w:rFonts w:asciiTheme="majorHAnsi" w:hAnsiTheme="majorHAnsi" w:cstheme="majorHAnsi"/>
              <w:i/>
              <w:iCs/>
              <w:lang w:val="en-GB"/>
            </w:rPr>
            <w:t>Evaluation &amp; the Health Professions</w:t>
          </w:r>
          <w:r w:rsidRPr="00943049">
            <w:rPr>
              <w:rFonts w:asciiTheme="majorHAnsi" w:hAnsiTheme="majorHAnsi" w:cstheme="majorHAnsi"/>
              <w:lang w:val="en-GB"/>
            </w:rPr>
            <w:t xml:space="preserve">, </w:t>
          </w:r>
          <w:r w:rsidRPr="00943049">
            <w:rPr>
              <w:rFonts w:asciiTheme="majorHAnsi" w:hAnsiTheme="majorHAnsi" w:cstheme="majorHAnsi"/>
              <w:i/>
              <w:iCs/>
              <w:lang w:val="en-GB"/>
            </w:rPr>
            <w:t>35</w:t>
          </w:r>
          <w:r w:rsidRPr="00943049">
            <w:rPr>
              <w:rFonts w:asciiTheme="majorHAnsi" w:hAnsiTheme="majorHAnsi" w:cstheme="majorHAnsi"/>
              <w:lang w:val="en-GB"/>
            </w:rPr>
            <w:t>(3), 259–279. https://doi.org/10.1177/0163278711424282</w:t>
          </w:r>
        </w:p>
        <w:p w14:paraId="38445CB5" w14:textId="24EB6B4F" w:rsidR="0045379A" w:rsidRPr="00943049" w:rsidRDefault="0045379A" w:rsidP="00943049">
          <w:pPr>
            <w:widowControl w:val="0"/>
            <w:autoSpaceDE w:val="0"/>
            <w:autoSpaceDN w:val="0"/>
            <w:adjustRightInd w:val="0"/>
            <w:ind w:left="720" w:hanging="720"/>
            <w:rPr>
              <w:rFonts w:asciiTheme="majorHAnsi" w:hAnsiTheme="majorHAnsi" w:cstheme="majorHAnsi"/>
            </w:rPr>
          </w:pPr>
          <w:r w:rsidRPr="00943049">
            <w:rPr>
              <w:rFonts w:asciiTheme="majorHAnsi" w:hAnsiTheme="majorHAnsi" w:cstheme="majorHAnsi"/>
            </w:rPr>
            <w:lastRenderedPageBreak/>
            <w:t>Stanton, K., McDonnell, C. G., Hayden, E. P., &amp; Watson, D. (2020). Transdiagnostic approaches to psychopathology measurement: Recommendations for measure selection, data analysis, and participant recruitment. </w:t>
          </w:r>
          <w:r w:rsidRPr="00943049">
            <w:rPr>
              <w:rFonts w:asciiTheme="majorHAnsi" w:hAnsiTheme="majorHAnsi" w:cstheme="majorHAnsi"/>
              <w:i/>
              <w:iCs/>
            </w:rPr>
            <w:t>Journal of Abnormal Psychology</w:t>
          </w:r>
          <w:r w:rsidRPr="00943049">
            <w:rPr>
              <w:rFonts w:asciiTheme="majorHAnsi" w:hAnsiTheme="majorHAnsi" w:cstheme="majorHAnsi"/>
            </w:rPr>
            <w:t>, </w:t>
          </w:r>
          <w:r w:rsidRPr="00943049">
            <w:rPr>
              <w:rFonts w:asciiTheme="majorHAnsi" w:hAnsiTheme="majorHAnsi" w:cstheme="majorHAnsi"/>
              <w:i/>
              <w:iCs/>
            </w:rPr>
            <w:t>129</w:t>
          </w:r>
          <w:r w:rsidRPr="00943049">
            <w:rPr>
              <w:rFonts w:asciiTheme="majorHAnsi" w:hAnsiTheme="majorHAnsi" w:cstheme="majorHAnsi"/>
            </w:rPr>
            <w:t>(1), 21–28. https://doi.org/10.1037/abn0000464</w:t>
          </w:r>
        </w:p>
        <w:p w14:paraId="0C5BE05E" w14:textId="198EF6EB" w:rsidR="0045379A" w:rsidRPr="00943049" w:rsidRDefault="0045379A" w:rsidP="00943049">
          <w:pPr>
            <w:pStyle w:val="Bibliography"/>
            <w:rPr>
              <w:rFonts w:asciiTheme="majorHAnsi" w:hAnsiTheme="majorHAnsi" w:cstheme="majorHAnsi"/>
              <w:lang w:val="en-GB"/>
            </w:rPr>
          </w:pPr>
          <w:r w:rsidRPr="00943049">
            <w:rPr>
              <w:rFonts w:asciiTheme="majorHAnsi" w:hAnsiTheme="majorHAnsi" w:cstheme="majorHAnsi"/>
              <w:shd w:val="clear" w:color="auto" w:fill="FFFFFF"/>
            </w:rPr>
            <w:t>Stanton, K., Watts, A. L., Levin-Aspenson, H. F., Carpenter, R. W., Emery, N. N., &amp; Zimmerman, M. (2023). Focusing narrowly on model fit in factor analysis can mask construct heterogeneity and model misspecification: Applied demonstrations across sample and assessment types. </w:t>
          </w:r>
          <w:r w:rsidRPr="00943049">
            <w:rPr>
              <w:rFonts w:asciiTheme="majorHAnsi" w:hAnsiTheme="majorHAnsi" w:cstheme="majorHAnsi"/>
              <w:i/>
              <w:iCs/>
              <w:shd w:val="clear" w:color="auto" w:fill="FFFFFF"/>
            </w:rPr>
            <w:t>Journal of Personality Assessment</w:t>
          </w:r>
          <w:r w:rsidRPr="00943049">
            <w:rPr>
              <w:rFonts w:asciiTheme="majorHAnsi" w:hAnsiTheme="majorHAnsi" w:cstheme="majorHAnsi"/>
              <w:shd w:val="clear" w:color="auto" w:fill="FFFFFF"/>
            </w:rPr>
            <w:t>, </w:t>
          </w:r>
          <w:r w:rsidRPr="00943049">
            <w:rPr>
              <w:rFonts w:asciiTheme="majorHAnsi" w:hAnsiTheme="majorHAnsi" w:cstheme="majorHAnsi"/>
              <w:i/>
              <w:iCs/>
              <w:shd w:val="clear" w:color="auto" w:fill="FFFFFF"/>
            </w:rPr>
            <w:t>105</w:t>
          </w:r>
          <w:r w:rsidRPr="00943049">
            <w:rPr>
              <w:rFonts w:asciiTheme="majorHAnsi" w:hAnsiTheme="majorHAnsi" w:cstheme="majorHAnsi"/>
              <w:shd w:val="clear" w:color="auto" w:fill="FFFFFF"/>
            </w:rPr>
            <w:t xml:space="preserve">(1), 1-13. </w:t>
          </w:r>
          <w:r w:rsidRPr="00943049">
            <w:rPr>
              <w:rFonts w:asciiTheme="majorHAnsi" w:hAnsiTheme="majorHAnsi" w:cstheme="majorHAnsi"/>
            </w:rPr>
            <w:t>https://doi.org/10.1080/00223891.2022.2047060</w:t>
          </w:r>
        </w:p>
        <w:p w14:paraId="0FB56710" w14:textId="1BA4624D" w:rsidR="00294565" w:rsidRPr="00943049" w:rsidRDefault="00294565" w:rsidP="00943049">
          <w:pPr>
            <w:widowControl w:val="0"/>
            <w:autoSpaceDE w:val="0"/>
            <w:autoSpaceDN w:val="0"/>
            <w:adjustRightInd w:val="0"/>
            <w:ind w:left="720" w:hanging="720"/>
            <w:rPr>
              <w:rFonts w:asciiTheme="majorHAnsi" w:hAnsiTheme="majorHAnsi" w:cstheme="majorHAnsi"/>
              <w:lang w:val="en-AU"/>
            </w:rPr>
          </w:pPr>
          <w:r w:rsidRPr="00943049">
            <w:rPr>
              <w:rFonts w:asciiTheme="majorHAnsi" w:hAnsiTheme="majorHAnsi" w:cstheme="majorHAnsi"/>
              <w:lang w:val="en-AU"/>
            </w:rPr>
            <w:t>Stucky, B. D., &amp; Edelen, M. O. (2014). Using hierarchical IRT models to</w:t>
          </w:r>
          <w:r w:rsidRPr="00943049">
            <w:rPr>
              <w:rFonts w:asciiTheme="majorHAnsi" w:hAnsiTheme="majorHAnsi" w:cstheme="majorHAnsi"/>
            </w:rPr>
            <w:t xml:space="preserve"> </w:t>
          </w:r>
          <w:r w:rsidRPr="00943049">
            <w:rPr>
              <w:rFonts w:asciiTheme="majorHAnsi" w:hAnsiTheme="majorHAnsi" w:cstheme="majorHAnsi"/>
              <w:lang w:val="en-AU"/>
            </w:rPr>
            <w:t>create unidimensional measures from multidimensional data. In S. P.</w:t>
          </w:r>
          <w:r w:rsidRPr="00943049">
            <w:rPr>
              <w:rFonts w:asciiTheme="majorHAnsi" w:hAnsiTheme="majorHAnsi" w:cstheme="majorHAnsi"/>
            </w:rPr>
            <w:t xml:space="preserve"> </w:t>
          </w:r>
          <w:r w:rsidRPr="00943049">
            <w:rPr>
              <w:rFonts w:asciiTheme="majorHAnsi" w:hAnsiTheme="majorHAnsi" w:cstheme="majorHAnsi"/>
              <w:lang w:val="en-AU"/>
            </w:rPr>
            <w:t xml:space="preserve">Reise &amp; D. A. Revicki (Eds.), </w:t>
          </w:r>
          <w:r w:rsidRPr="00943049">
            <w:rPr>
              <w:rFonts w:asciiTheme="majorHAnsi" w:hAnsiTheme="majorHAnsi" w:cstheme="majorHAnsi"/>
              <w:i/>
              <w:iCs/>
              <w:lang w:val="en-AU"/>
            </w:rPr>
            <w:t>Handbook of item response theory</w:t>
          </w:r>
          <w:r w:rsidRPr="00943049">
            <w:rPr>
              <w:rFonts w:asciiTheme="majorHAnsi" w:hAnsiTheme="majorHAnsi" w:cstheme="majorHAnsi"/>
            </w:rPr>
            <w:t xml:space="preserve"> </w:t>
          </w:r>
          <w:r w:rsidRPr="00943049">
            <w:rPr>
              <w:rFonts w:asciiTheme="majorHAnsi" w:hAnsiTheme="majorHAnsi" w:cstheme="majorHAnsi"/>
              <w:i/>
              <w:iCs/>
              <w:lang w:val="en-AU"/>
            </w:rPr>
            <w:t xml:space="preserve">modeling: Applications to typical performance assessment </w:t>
          </w:r>
          <w:r w:rsidRPr="00943049">
            <w:rPr>
              <w:rFonts w:asciiTheme="majorHAnsi" w:hAnsiTheme="majorHAnsi" w:cstheme="majorHAnsi"/>
              <w:lang w:val="en-AU"/>
            </w:rPr>
            <w:t>(pp. 183–</w:t>
          </w:r>
          <w:r w:rsidRPr="00943049">
            <w:rPr>
              <w:rFonts w:asciiTheme="majorHAnsi" w:hAnsiTheme="majorHAnsi" w:cstheme="majorHAnsi"/>
            </w:rPr>
            <w:t xml:space="preserve"> </w:t>
          </w:r>
          <w:r w:rsidRPr="00943049">
            <w:rPr>
              <w:rFonts w:asciiTheme="majorHAnsi" w:hAnsiTheme="majorHAnsi" w:cstheme="majorHAnsi"/>
              <w:lang w:val="en-AU"/>
            </w:rPr>
            <w:t>206). Routledge/Taylor &amp; Francis Group.</w:t>
          </w:r>
        </w:p>
        <w:p w14:paraId="7F103945" w14:textId="77777777" w:rsidR="00645DC9" w:rsidRDefault="00294565" w:rsidP="00645DC9">
          <w:pPr>
            <w:pStyle w:val="Bibliography"/>
            <w:rPr>
              <w:rFonts w:asciiTheme="majorHAnsi" w:hAnsiTheme="majorHAnsi" w:cstheme="majorHAnsi"/>
              <w:lang w:val="en-GB"/>
            </w:rPr>
          </w:pPr>
          <w:r w:rsidRPr="00943049">
            <w:rPr>
              <w:rFonts w:asciiTheme="majorHAnsi" w:hAnsiTheme="majorHAnsi" w:cstheme="majorHAnsi"/>
              <w:lang w:val="en-GB"/>
            </w:rPr>
            <w:t xml:space="preserve">Tabachnick, B. G., Fidell, L. S., &amp; Ullman, J. B. (2019). </w:t>
          </w:r>
          <w:r w:rsidRPr="00943049">
            <w:rPr>
              <w:rFonts w:asciiTheme="majorHAnsi" w:hAnsiTheme="majorHAnsi" w:cstheme="majorHAnsi"/>
              <w:i/>
              <w:iCs/>
              <w:lang w:val="en-GB"/>
            </w:rPr>
            <w:t>Using multivariate statistics</w:t>
          </w:r>
          <w:r w:rsidRPr="00943049">
            <w:rPr>
              <w:rFonts w:asciiTheme="majorHAnsi" w:hAnsiTheme="majorHAnsi" w:cstheme="majorHAnsi"/>
              <w:lang w:val="en-GB"/>
            </w:rPr>
            <w:t xml:space="preserve"> (7th ed.). Pearson.</w:t>
          </w:r>
        </w:p>
        <w:p w14:paraId="631603B5" w14:textId="24957F5A" w:rsidR="00645DC9" w:rsidRPr="00645DC9" w:rsidRDefault="00645DC9" w:rsidP="00645DC9">
          <w:pPr>
            <w:pStyle w:val="Bibliography"/>
            <w:rPr>
              <w:lang w:val="en-GB"/>
            </w:rPr>
          </w:pPr>
          <w:r w:rsidRPr="00645DC9">
            <w:t>Teymoori, A., Gorbunova, A., Haghish, F. E., Real, R., Zeldovich, M., Wu, Y.-J., Polinder, S., Asendorf, T., Menon, D., CENTER-TBI Investigators and Participants, &amp; Steinbüchel, N. v. (2020). Factorial structure and validity of depression (PHQ-9) and anxiety (GAD-7) scales after traumatic brain injury. </w:t>
          </w:r>
          <w:r w:rsidRPr="00645DC9">
            <w:rPr>
              <w:i/>
              <w:iCs/>
            </w:rPr>
            <w:t>Journal of Clinical Medicine</w:t>
          </w:r>
          <w:r w:rsidRPr="00645DC9">
            <w:t>, 9(3), 873. https://doi.org/10.3390/jcm9030873</w:t>
          </w:r>
        </w:p>
        <w:p w14:paraId="1475DA66" w14:textId="78CF0B68" w:rsidR="00EB4A16" w:rsidRPr="00943049" w:rsidRDefault="00EB4A16" w:rsidP="00943049">
          <w:pPr>
            <w:widowControl w:val="0"/>
            <w:autoSpaceDE w:val="0"/>
            <w:autoSpaceDN w:val="0"/>
            <w:adjustRightInd w:val="0"/>
            <w:ind w:left="720" w:hanging="720"/>
            <w:rPr>
              <w:rFonts w:asciiTheme="majorHAnsi" w:hAnsiTheme="majorHAnsi" w:cstheme="majorHAnsi"/>
              <w:kern w:val="0"/>
            </w:rPr>
          </w:pPr>
          <w:r w:rsidRPr="00943049">
            <w:rPr>
              <w:rFonts w:asciiTheme="majorHAnsi" w:hAnsiTheme="majorHAnsi" w:cstheme="majorHAnsi"/>
              <w:kern w:val="0"/>
            </w:rPr>
            <w:t xml:space="preserve">Watson, D., Clark, L. A., Simms, L. J., &amp; Kotov, R. (2022). Classification and assessment of fear and anxiety in personality and psychopathology. </w:t>
          </w:r>
          <w:r w:rsidRPr="00943049">
            <w:rPr>
              <w:rFonts w:asciiTheme="majorHAnsi" w:hAnsiTheme="majorHAnsi" w:cstheme="majorHAnsi"/>
              <w:i/>
              <w:iCs/>
              <w:kern w:val="0"/>
            </w:rPr>
            <w:t>Neuroscience &amp; Biobehavioral Reviews</w:t>
          </w:r>
          <w:r w:rsidRPr="00943049">
            <w:rPr>
              <w:rFonts w:asciiTheme="majorHAnsi" w:hAnsiTheme="majorHAnsi" w:cstheme="majorHAnsi"/>
              <w:kern w:val="0"/>
            </w:rPr>
            <w:t xml:space="preserve">, </w:t>
          </w:r>
          <w:r w:rsidRPr="00943049">
            <w:rPr>
              <w:rFonts w:asciiTheme="majorHAnsi" w:hAnsiTheme="majorHAnsi" w:cstheme="majorHAnsi"/>
              <w:i/>
              <w:iCs/>
              <w:kern w:val="0"/>
            </w:rPr>
            <w:t>142</w:t>
          </w:r>
          <w:r w:rsidRPr="00943049">
            <w:rPr>
              <w:rFonts w:asciiTheme="majorHAnsi" w:hAnsiTheme="majorHAnsi" w:cstheme="majorHAnsi"/>
              <w:kern w:val="0"/>
            </w:rPr>
            <w:t>, 104878. https://doi.org/10.1016/j.neubiorev.2022.104878</w:t>
          </w:r>
        </w:p>
        <w:p w14:paraId="27571DF0" w14:textId="6E2C4A61" w:rsidR="00EB4A16" w:rsidRPr="00943049" w:rsidRDefault="00294565" w:rsidP="00943049">
          <w:pPr>
            <w:pStyle w:val="Bibliography"/>
            <w:rPr>
              <w:rFonts w:asciiTheme="majorHAnsi" w:eastAsia="Times New Roman" w:hAnsiTheme="majorHAnsi" w:cstheme="majorHAnsi"/>
              <w:kern w:val="0"/>
              <w:shd w:val="clear" w:color="auto" w:fill="FFFFFF"/>
              <w:lang w:val="en-AU" w:eastAsia="en-GB"/>
            </w:rPr>
          </w:pPr>
          <w:r w:rsidRPr="00943049">
            <w:rPr>
              <w:rFonts w:asciiTheme="majorHAnsi" w:eastAsia="Times New Roman" w:hAnsiTheme="majorHAnsi" w:cstheme="majorHAnsi"/>
              <w:kern w:val="0"/>
              <w:shd w:val="clear" w:color="auto" w:fill="FFFFFF"/>
              <w:lang w:val="en-AU" w:eastAsia="en-GB"/>
            </w:rPr>
            <w:t xml:space="preserve">Watson, D., O'Hara, M. W., Simms, L. J., Kotov, R. , Chmielewski, M. , McDade-Montez, E. A. , Gamez, W. &amp; Stuart, S. (2007). Development and Validation of the Inventory of </w:t>
          </w:r>
          <w:r w:rsidRPr="00943049">
            <w:rPr>
              <w:rFonts w:asciiTheme="majorHAnsi" w:eastAsia="Times New Roman" w:hAnsiTheme="majorHAnsi" w:cstheme="majorHAnsi"/>
              <w:kern w:val="0"/>
              <w:shd w:val="clear" w:color="auto" w:fill="FFFFFF"/>
              <w:lang w:val="en-AU" w:eastAsia="en-GB"/>
            </w:rPr>
            <w:lastRenderedPageBreak/>
            <w:t>Depression and Anxiety Symptoms (IDAS). </w:t>
          </w:r>
          <w:r w:rsidRPr="00943049">
            <w:rPr>
              <w:rFonts w:asciiTheme="majorHAnsi" w:eastAsia="Times New Roman" w:hAnsiTheme="majorHAnsi" w:cstheme="majorHAnsi"/>
              <w:i/>
              <w:iCs/>
              <w:kern w:val="0"/>
              <w:shd w:val="clear" w:color="auto" w:fill="FFFFFF"/>
              <w:lang w:val="en-AU" w:eastAsia="en-GB"/>
            </w:rPr>
            <w:t>Psychological Assessment, 19 </w:t>
          </w:r>
          <w:r w:rsidRPr="00943049">
            <w:rPr>
              <w:rFonts w:asciiTheme="majorHAnsi" w:eastAsia="Times New Roman" w:hAnsiTheme="majorHAnsi" w:cstheme="majorHAnsi"/>
              <w:kern w:val="0"/>
              <w:shd w:val="clear" w:color="auto" w:fill="FFFFFF"/>
              <w:lang w:val="en-AU" w:eastAsia="en-GB"/>
            </w:rPr>
            <w:t>(3), 253</w:t>
          </w:r>
          <w:r w:rsidRPr="00943049">
            <w:rPr>
              <w:rFonts w:asciiTheme="majorHAnsi" w:hAnsiTheme="majorHAnsi" w:cstheme="majorHAnsi"/>
              <w:lang w:val="en-GB"/>
            </w:rPr>
            <w:t>–</w:t>
          </w:r>
          <w:r w:rsidRPr="00943049">
            <w:rPr>
              <w:rFonts w:asciiTheme="majorHAnsi" w:eastAsia="Times New Roman" w:hAnsiTheme="majorHAnsi" w:cstheme="majorHAnsi"/>
              <w:kern w:val="0"/>
              <w:shd w:val="clear" w:color="auto" w:fill="FFFFFF"/>
              <w:lang w:val="en-AU" w:eastAsia="en-GB"/>
            </w:rPr>
            <w:t>268. doi: 10.1037/1040-3590.19.3.253.</w:t>
          </w:r>
        </w:p>
        <w:p w14:paraId="643EE554" w14:textId="77777777" w:rsidR="00294565" w:rsidRPr="00943049" w:rsidRDefault="00294565" w:rsidP="00943049">
          <w:pPr>
            <w:pStyle w:val="Bibliography"/>
            <w:rPr>
              <w:rFonts w:asciiTheme="majorHAnsi" w:hAnsiTheme="majorHAnsi" w:cstheme="majorHAnsi"/>
              <w:lang w:val="en-GB"/>
            </w:rPr>
          </w:pPr>
          <w:r w:rsidRPr="00943049">
            <w:rPr>
              <w:rFonts w:asciiTheme="majorHAnsi" w:hAnsiTheme="majorHAnsi" w:cstheme="majorHAnsi"/>
              <w:lang w:val="en-GB"/>
            </w:rPr>
            <w:t xml:space="preserve">Whelan-Goodinson, R., Ponsford, J., Johnston, L., &amp; Grant, F. (2009). Psychiatric disorders following traumatic brain injury: Their nature and frequency. </w:t>
          </w:r>
          <w:r w:rsidRPr="00943049">
            <w:rPr>
              <w:rFonts w:asciiTheme="majorHAnsi" w:hAnsiTheme="majorHAnsi" w:cstheme="majorHAnsi"/>
              <w:i/>
              <w:iCs/>
              <w:lang w:val="en-GB"/>
            </w:rPr>
            <w:t>Journal of Head Trauma Rehabilitation Focus on Clinical Research and Practice</w:t>
          </w:r>
          <w:r w:rsidRPr="00943049">
            <w:rPr>
              <w:rFonts w:asciiTheme="majorHAnsi" w:hAnsiTheme="majorHAnsi" w:cstheme="majorHAnsi"/>
              <w:lang w:val="en-GB"/>
            </w:rPr>
            <w:t xml:space="preserve">, </w:t>
          </w:r>
          <w:r w:rsidRPr="00943049">
            <w:rPr>
              <w:rFonts w:asciiTheme="majorHAnsi" w:hAnsiTheme="majorHAnsi" w:cstheme="majorHAnsi"/>
              <w:i/>
              <w:iCs/>
              <w:lang w:val="en-GB"/>
            </w:rPr>
            <w:t>24</w:t>
          </w:r>
          <w:r w:rsidRPr="00943049">
            <w:rPr>
              <w:rFonts w:asciiTheme="majorHAnsi" w:hAnsiTheme="majorHAnsi" w:cstheme="majorHAnsi"/>
              <w:lang w:val="en-GB"/>
            </w:rPr>
            <w:t>(5), 324–332. https://doi.org/10.1097/HTR.0b013e3181a712aa</w:t>
          </w:r>
        </w:p>
        <w:p w14:paraId="47B45950" w14:textId="7BD1C4C3" w:rsidR="0045379A" w:rsidRPr="00943049" w:rsidRDefault="0045379A" w:rsidP="00943049">
          <w:pPr>
            <w:widowControl w:val="0"/>
            <w:autoSpaceDE w:val="0"/>
            <w:autoSpaceDN w:val="0"/>
            <w:adjustRightInd w:val="0"/>
            <w:ind w:left="720" w:hanging="720"/>
            <w:rPr>
              <w:rFonts w:asciiTheme="majorHAnsi" w:hAnsiTheme="majorHAnsi" w:cstheme="majorHAnsi"/>
              <w:kern w:val="0"/>
            </w:rPr>
          </w:pPr>
          <w:r w:rsidRPr="00943049">
            <w:rPr>
              <w:rFonts w:asciiTheme="majorHAnsi" w:hAnsiTheme="majorHAnsi" w:cstheme="majorHAnsi"/>
              <w:kern w:val="0"/>
            </w:rPr>
            <w:t xml:space="preserve">Whiting, D. L., Deane, F. P., Simpson, G. K., McLeod, H. J., &amp; Ciarrochi, J. (2017). Cognitive and psychological flexibility after a traumatic brain injury and the implications for treatment in acceptance-based therapies: A conceptual review. </w:t>
          </w:r>
          <w:r w:rsidRPr="00943049">
            <w:rPr>
              <w:rFonts w:asciiTheme="majorHAnsi" w:hAnsiTheme="majorHAnsi" w:cstheme="majorHAnsi"/>
              <w:i/>
              <w:iCs/>
              <w:kern w:val="0"/>
            </w:rPr>
            <w:t>Neuropsychological Rehabilitation</w:t>
          </w:r>
          <w:r w:rsidRPr="00943049">
            <w:rPr>
              <w:rFonts w:asciiTheme="majorHAnsi" w:hAnsiTheme="majorHAnsi" w:cstheme="majorHAnsi"/>
              <w:kern w:val="0"/>
            </w:rPr>
            <w:t xml:space="preserve">, </w:t>
          </w:r>
          <w:r w:rsidRPr="00943049">
            <w:rPr>
              <w:rFonts w:asciiTheme="majorHAnsi" w:hAnsiTheme="majorHAnsi" w:cstheme="majorHAnsi"/>
              <w:i/>
              <w:iCs/>
              <w:kern w:val="0"/>
            </w:rPr>
            <w:t>27</w:t>
          </w:r>
          <w:r w:rsidRPr="00943049">
            <w:rPr>
              <w:rFonts w:asciiTheme="majorHAnsi" w:hAnsiTheme="majorHAnsi" w:cstheme="majorHAnsi"/>
              <w:kern w:val="0"/>
            </w:rPr>
            <w:t>(2), 263–299. https://doi.org/10.1080/09602011.2015.1062115</w:t>
          </w:r>
        </w:p>
        <w:p w14:paraId="5BF0C325" w14:textId="77777777" w:rsidR="00294565" w:rsidRPr="00943049" w:rsidRDefault="00294565" w:rsidP="00943049">
          <w:pPr>
            <w:pStyle w:val="Bibliography"/>
            <w:rPr>
              <w:rFonts w:asciiTheme="majorHAnsi" w:hAnsiTheme="majorHAnsi" w:cstheme="majorHAnsi"/>
              <w:lang w:val="en-GB"/>
            </w:rPr>
          </w:pPr>
          <w:r w:rsidRPr="00943049">
            <w:rPr>
              <w:rFonts w:asciiTheme="majorHAnsi" w:hAnsiTheme="majorHAnsi" w:cstheme="majorHAnsi"/>
              <w:lang w:val="en-GB"/>
            </w:rPr>
            <w:t xml:space="preserve">Wong, D., Dahm, J., &amp; Ponsford, J. (2013). Factor structure of the Depression Anxiety Stress Scales in individuals with traumatic brain injury. </w:t>
          </w:r>
          <w:r w:rsidRPr="00943049">
            <w:rPr>
              <w:rFonts w:asciiTheme="majorHAnsi" w:hAnsiTheme="majorHAnsi" w:cstheme="majorHAnsi"/>
              <w:i/>
              <w:iCs/>
              <w:lang w:val="en-GB"/>
            </w:rPr>
            <w:t>Brain Injury</w:t>
          </w:r>
          <w:r w:rsidRPr="00943049">
            <w:rPr>
              <w:rFonts w:asciiTheme="majorHAnsi" w:hAnsiTheme="majorHAnsi" w:cstheme="majorHAnsi"/>
              <w:lang w:val="en-GB"/>
            </w:rPr>
            <w:t xml:space="preserve">, </w:t>
          </w:r>
          <w:r w:rsidRPr="00943049">
            <w:rPr>
              <w:rFonts w:asciiTheme="majorHAnsi" w:hAnsiTheme="majorHAnsi" w:cstheme="majorHAnsi"/>
              <w:i/>
              <w:iCs/>
              <w:lang w:val="en-GB"/>
            </w:rPr>
            <w:t>27</w:t>
          </w:r>
          <w:r w:rsidRPr="00943049">
            <w:rPr>
              <w:rFonts w:asciiTheme="majorHAnsi" w:hAnsiTheme="majorHAnsi" w:cstheme="majorHAnsi"/>
              <w:lang w:val="en-GB"/>
            </w:rPr>
            <w:t>(12), 1377–1382. https://doi.org/10.3109/02699052.2013.823662</w:t>
          </w:r>
        </w:p>
        <w:p w14:paraId="3E7B5768" w14:textId="77777777" w:rsidR="00294565" w:rsidRPr="00943049" w:rsidRDefault="00294565" w:rsidP="00943049">
          <w:pPr>
            <w:pStyle w:val="Bibliography"/>
            <w:rPr>
              <w:rFonts w:asciiTheme="majorHAnsi" w:hAnsiTheme="majorHAnsi" w:cstheme="majorHAnsi"/>
              <w:lang w:val="en-GB"/>
            </w:rPr>
          </w:pPr>
          <w:r w:rsidRPr="00943049">
            <w:rPr>
              <w:rFonts w:asciiTheme="majorHAnsi" w:hAnsiTheme="majorHAnsi" w:cstheme="majorHAnsi"/>
              <w:lang w:val="en-GB"/>
            </w:rPr>
            <w:t xml:space="preserve">Yeung, A. Y., Yuliawati, L., &amp; Cheung, S.-H. (2020). A systematic review and meta-analytic factor analysis of the Depression Anxiety Stress Scales. </w:t>
          </w:r>
          <w:r w:rsidRPr="00943049">
            <w:rPr>
              <w:rFonts w:asciiTheme="majorHAnsi" w:hAnsiTheme="majorHAnsi" w:cstheme="majorHAnsi"/>
              <w:i/>
              <w:iCs/>
              <w:lang w:val="en-GB"/>
            </w:rPr>
            <w:t>Clinical Psychology: Science and practice</w:t>
          </w:r>
          <w:r w:rsidRPr="00943049">
            <w:rPr>
              <w:rFonts w:asciiTheme="majorHAnsi" w:hAnsiTheme="majorHAnsi" w:cstheme="majorHAnsi"/>
              <w:lang w:val="en-GB"/>
            </w:rPr>
            <w:t xml:space="preserve">, </w:t>
          </w:r>
          <w:r w:rsidRPr="00943049">
            <w:rPr>
              <w:rFonts w:asciiTheme="majorHAnsi" w:hAnsiTheme="majorHAnsi" w:cstheme="majorHAnsi"/>
              <w:i/>
              <w:iCs/>
              <w:lang w:val="en-GB"/>
            </w:rPr>
            <w:t>27</w:t>
          </w:r>
          <w:r w:rsidRPr="00943049">
            <w:rPr>
              <w:rFonts w:asciiTheme="majorHAnsi" w:hAnsiTheme="majorHAnsi" w:cstheme="majorHAnsi"/>
              <w:lang w:val="en-GB"/>
            </w:rPr>
            <w:t>(4), e12362. https://doi.org/10.1111/cpsp.12362</w:t>
          </w:r>
        </w:p>
        <w:p w14:paraId="387FAB18" w14:textId="4847D4F6" w:rsidR="00143B1C" w:rsidRPr="00943049" w:rsidRDefault="00294565" w:rsidP="00943049">
          <w:pPr>
            <w:pStyle w:val="Bibliography"/>
            <w:rPr>
              <w:rFonts w:asciiTheme="majorHAnsi" w:hAnsiTheme="majorHAnsi" w:cstheme="majorHAnsi"/>
              <w:lang w:val="en-GB"/>
            </w:rPr>
          </w:pPr>
          <w:r w:rsidRPr="00943049">
            <w:rPr>
              <w:rFonts w:asciiTheme="majorHAnsi" w:hAnsiTheme="majorHAnsi" w:cstheme="majorHAnsi"/>
              <w:lang w:val="en-GB"/>
            </w:rPr>
            <w:t xml:space="preserve">Zanon, C., Brenner, R. E., Baptista, M. N., Vogel, D. L., Rubin, M., Al-Darmaki, F. R., Gonçalves, M., Heath, P. J., Liao, H.-Y., Mackenzie, C. S., Topkaya, N., Wade, N. G., &amp; Zlati, A. (2021). Examining the dimensionality, reliability, and invariance of the Depression, Anxiety, and Stress Scale–21 (DASS21) across eight countries. </w:t>
          </w:r>
          <w:r w:rsidRPr="00943049">
            <w:rPr>
              <w:rFonts w:asciiTheme="majorHAnsi" w:hAnsiTheme="majorHAnsi" w:cstheme="majorHAnsi"/>
              <w:i/>
              <w:iCs/>
              <w:lang w:val="en-GB"/>
            </w:rPr>
            <w:t>Assessment</w:t>
          </w:r>
          <w:r w:rsidRPr="00943049">
            <w:rPr>
              <w:rFonts w:asciiTheme="majorHAnsi" w:hAnsiTheme="majorHAnsi" w:cstheme="majorHAnsi"/>
              <w:lang w:val="en-GB"/>
            </w:rPr>
            <w:t xml:space="preserve">, </w:t>
          </w:r>
          <w:r w:rsidRPr="00943049">
            <w:rPr>
              <w:rFonts w:asciiTheme="majorHAnsi" w:hAnsiTheme="majorHAnsi" w:cstheme="majorHAnsi"/>
              <w:i/>
              <w:iCs/>
              <w:lang w:val="en-GB"/>
            </w:rPr>
            <w:t>28</w:t>
          </w:r>
          <w:r w:rsidRPr="00943049">
            <w:rPr>
              <w:rFonts w:asciiTheme="majorHAnsi" w:hAnsiTheme="majorHAnsi" w:cstheme="majorHAnsi"/>
              <w:lang w:val="en-GB"/>
            </w:rPr>
            <w:t>(6), 1531–1544. https://doi.org/10.1177/1073191119887449</w:t>
          </w:r>
        </w:p>
      </w:sdtContent>
    </w:sdt>
    <w:sectPr w:rsidR="00143B1C" w:rsidRPr="00943049" w:rsidSect="00554F03">
      <w:headerReference w:type="default" r:id="rId25"/>
      <w:footnotePr>
        <w:pos w:val="beneathText"/>
      </w:footnotePr>
      <w:pgSz w:w="11906" w:h="16838" w:code="9"/>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3D159" w14:textId="77777777" w:rsidR="00554F03" w:rsidRDefault="00554F03">
      <w:pPr>
        <w:spacing w:line="240" w:lineRule="auto"/>
      </w:pPr>
      <w:r>
        <w:separator/>
      </w:r>
    </w:p>
    <w:p w14:paraId="6642FC33" w14:textId="77777777" w:rsidR="00554F03" w:rsidRDefault="00554F03"/>
  </w:endnote>
  <w:endnote w:type="continuationSeparator" w:id="0">
    <w:p w14:paraId="43DDF087" w14:textId="77777777" w:rsidR="00554F03" w:rsidRDefault="00554F03">
      <w:pPr>
        <w:spacing w:line="240" w:lineRule="auto"/>
      </w:pPr>
      <w:r>
        <w:continuationSeparator/>
      </w:r>
    </w:p>
    <w:p w14:paraId="3461543E" w14:textId="77777777" w:rsidR="00554F03" w:rsidRDefault="00554F03"/>
  </w:endnote>
  <w:endnote w:type="continuationNotice" w:id="1">
    <w:p w14:paraId="630F47E7" w14:textId="77777777" w:rsidR="00554F03" w:rsidRDefault="00554F03">
      <w:pPr>
        <w:spacing w:line="240" w:lineRule="auto"/>
      </w:pPr>
    </w:p>
    <w:p w14:paraId="5C465D94" w14:textId="77777777" w:rsidR="00554F03" w:rsidRDefault="00554F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Abadi">
    <w:charset w:val="00"/>
    <w:family w:val="swiss"/>
    <w:pitch w:val="variable"/>
    <w:sig w:usb0="8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HGSMinchoE">
    <w:charset w:val="80"/>
    <w:family w:val="roman"/>
    <w:pitch w:val="variable"/>
    <w:sig w:usb0="E00002FF" w:usb1="2AC7EDFE"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CC0082" w14:textId="77777777" w:rsidR="00554F03" w:rsidRDefault="00554F03">
      <w:pPr>
        <w:spacing w:line="240" w:lineRule="auto"/>
      </w:pPr>
      <w:r>
        <w:separator/>
      </w:r>
    </w:p>
    <w:p w14:paraId="733C7FD9" w14:textId="77777777" w:rsidR="00554F03" w:rsidRDefault="00554F03"/>
  </w:footnote>
  <w:footnote w:type="continuationSeparator" w:id="0">
    <w:p w14:paraId="1EC3D39C" w14:textId="77777777" w:rsidR="00554F03" w:rsidRDefault="00554F03">
      <w:pPr>
        <w:spacing w:line="240" w:lineRule="auto"/>
      </w:pPr>
      <w:r>
        <w:continuationSeparator/>
      </w:r>
    </w:p>
    <w:p w14:paraId="5999C470" w14:textId="77777777" w:rsidR="00554F03" w:rsidRDefault="00554F03"/>
  </w:footnote>
  <w:footnote w:type="continuationNotice" w:id="1">
    <w:p w14:paraId="7828D626" w14:textId="77777777" w:rsidR="00554F03" w:rsidRDefault="00554F03">
      <w:pPr>
        <w:spacing w:line="240" w:lineRule="auto"/>
      </w:pPr>
    </w:p>
    <w:p w14:paraId="51AC6C8F" w14:textId="77777777" w:rsidR="00554F03" w:rsidRDefault="00554F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41486266"/>
      <w:docPartObj>
        <w:docPartGallery w:val="Page Numbers (Top of Page)"/>
        <w:docPartUnique/>
      </w:docPartObj>
    </w:sdtPr>
    <w:sdtContent>
      <w:p w14:paraId="40CAC590" w14:textId="09AA8106" w:rsidR="00E72AD3" w:rsidRDefault="00E72AD3" w:rsidP="001C75DE">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33</w:t>
        </w:r>
        <w:r>
          <w:rPr>
            <w:rStyle w:val="PageNumber"/>
          </w:rPr>
          <w:fldChar w:fldCharType="end"/>
        </w:r>
      </w:p>
    </w:sdtContent>
  </w:sdt>
  <w:p w14:paraId="0D55A208" w14:textId="600FBDF7" w:rsidR="00E72AD3" w:rsidRDefault="00E72AD3" w:rsidP="003F40B4">
    <w:pPr>
      <w:pStyle w:val="Header"/>
      <w:ind w:right="360"/>
      <w:rPr>
        <w:rStyle w:val="Strong"/>
      </w:rPr>
    </w:pPr>
    <w:r>
      <w:rPr>
        <w:rStyle w:val="Strong"/>
        <w:lang w:val="en-GB" w:bidi="en-GB"/>
      </w:rPr>
      <w:t xml:space="preserve">psychometrics of </w:t>
    </w:r>
    <w:r w:rsidR="00801819">
      <w:rPr>
        <w:rStyle w:val="Strong"/>
        <w:lang w:val="en-GB" w:bidi="en-GB"/>
      </w:rPr>
      <w:t xml:space="preserve">THE </w:t>
    </w:r>
    <w:r>
      <w:rPr>
        <w:rStyle w:val="Strong"/>
        <w:lang w:val="en-GB" w:bidi="en-GB"/>
      </w:rPr>
      <w:t xml:space="preserve">DASS </w:t>
    </w:r>
    <w:r w:rsidR="00186BB9">
      <w:rPr>
        <w:rStyle w:val="Strong"/>
        <w:lang w:val="en-GB" w:bidi="en-GB"/>
      </w:rPr>
      <w:t>FOR</w:t>
    </w:r>
    <w:r>
      <w:rPr>
        <w:rStyle w:val="Strong"/>
        <w:lang w:val="en-GB" w:bidi="en-GB"/>
      </w:rPr>
      <w:t xml:space="preserve"> Traumatic Brain Injury</w:t>
    </w:r>
    <w:r>
      <w:rPr>
        <w:rStyle w:val="Strong"/>
        <w:lang w:val="en-GB" w:bidi="en-GB"/>
      </w:rPr>
      <w:ptab w:relativeTo="margin" w:alignment="right" w:leader="none"/>
    </w:r>
  </w:p>
  <w:p w14:paraId="1D890FA2" w14:textId="77777777" w:rsidR="00E72AD3" w:rsidRDefault="00E72AD3">
    <w:pPr>
      <w:pStyle w:val="Header"/>
    </w:pPr>
    <w:r>
      <w:rPr>
        <w:rStyle w:val="Strong"/>
        <w:lang w:val="en-GB" w:bidi="en-GB"/>
      </w:rPr>
      <w:ptab w:relativeTo="margin" w:alignment="right" w:leader="none"/>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ED08D9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3D5203E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984C7A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94D2CA3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7BCEBA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D386FF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73A80F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AB0806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6E00290"/>
    <w:lvl w:ilvl="0">
      <w:start w:val="1"/>
      <w:numFmt w:val="decimal"/>
      <w:pStyle w:val="ListNumber"/>
      <w:lvlText w:val="%1."/>
      <w:lvlJc w:val="left"/>
      <w:pPr>
        <w:tabs>
          <w:tab w:val="num" w:pos="1080"/>
        </w:tabs>
        <w:ind w:left="1080" w:hanging="360"/>
      </w:pPr>
      <w:rPr>
        <w:rFonts w:hint="default"/>
      </w:rPr>
    </w:lvl>
  </w:abstractNum>
  <w:abstractNum w:abstractNumId="9" w15:restartNumberingAfterBreak="0">
    <w:nsid w:val="FFFFFF89"/>
    <w:multiLevelType w:val="singleLevel"/>
    <w:tmpl w:val="D6FC344C"/>
    <w:lvl w:ilvl="0">
      <w:start w:val="1"/>
      <w:numFmt w:val="bullet"/>
      <w:pStyle w:val="ListBullet"/>
      <w:lvlText w:val=""/>
      <w:lvlJc w:val="left"/>
      <w:pPr>
        <w:tabs>
          <w:tab w:val="num" w:pos="1080"/>
        </w:tabs>
        <w:ind w:left="1080" w:hanging="360"/>
      </w:pPr>
      <w:rPr>
        <w:rFonts w:ascii="Symbol" w:hAnsi="Symbol" w:hint="default"/>
      </w:rPr>
    </w:lvl>
  </w:abstractNum>
  <w:abstractNum w:abstractNumId="10" w15:restartNumberingAfterBreak="0">
    <w:nsid w:val="176F2E1F"/>
    <w:multiLevelType w:val="multilevel"/>
    <w:tmpl w:val="1D689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ADF1687"/>
    <w:multiLevelType w:val="multilevel"/>
    <w:tmpl w:val="C562E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F373033"/>
    <w:multiLevelType w:val="hybridMultilevel"/>
    <w:tmpl w:val="9BA0DA6A"/>
    <w:lvl w:ilvl="0" w:tplc="08090001">
      <w:start w:val="1"/>
      <w:numFmt w:val="bullet"/>
      <w:lvlText w:val=""/>
      <w:lvlJc w:val="left"/>
      <w:pPr>
        <w:ind w:left="8136" w:hanging="360"/>
      </w:pPr>
      <w:rPr>
        <w:rFonts w:ascii="Symbol" w:hAnsi="Symbol" w:hint="default"/>
      </w:rPr>
    </w:lvl>
    <w:lvl w:ilvl="1" w:tplc="08090003" w:tentative="1">
      <w:start w:val="1"/>
      <w:numFmt w:val="bullet"/>
      <w:lvlText w:val="o"/>
      <w:lvlJc w:val="left"/>
      <w:pPr>
        <w:ind w:left="8856" w:hanging="360"/>
      </w:pPr>
      <w:rPr>
        <w:rFonts w:ascii="Courier New" w:hAnsi="Courier New" w:hint="default"/>
      </w:rPr>
    </w:lvl>
    <w:lvl w:ilvl="2" w:tplc="08090005" w:tentative="1">
      <w:start w:val="1"/>
      <w:numFmt w:val="bullet"/>
      <w:lvlText w:val=""/>
      <w:lvlJc w:val="left"/>
      <w:pPr>
        <w:ind w:left="9576" w:hanging="360"/>
      </w:pPr>
      <w:rPr>
        <w:rFonts w:ascii="Wingdings" w:hAnsi="Wingdings" w:hint="default"/>
      </w:rPr>
    </w:lvl>
    <w:lvl w:ilvl="3" w:tplc="08090001" w:tentative="1">
      <w:start w:val="1"/>
      <w:numFmt w:val="bullet"/>
      <w:lvlText w:val=""/>
      <w:lvlJc w:val="left"/>
      <w:pPr>
        <w:ind w:left="10296" w:hanging="360"/>
      </w:pPr>
      <w:rPr>
        <w:rFonts w:ascii="Symbol" w:hAnsi="Symbol" w:hint="default"/>
      </w:rPr>
    </w:lvl>
    <w:lvl w:ilvl="4" w:tplc="08090003" w:tentative="1">
      <w:start w:val="1"/>
      <w:numFmt w:val="bullet"/>
      <w:lvlText w:val="o"/>
      <w:lvlJc w:val="left"/>
      <w:pPr>
        <w:ind w:left="11016" w:hanging="360"/>
      </w:pPr>
      <w:rPr>
        <w:rFonts w:ascii="Courier New" w:hAnsi="Courier New" w:hint="default"/>
      </w:rPr>
    </w:lvl>
    <w:lvl w:ilvl="5" w:tplc="08090005" w:tentative="1">
      <w:start w:val="1"/>
      <w:numFmt w:val="bullet"/>
      <w:lvlText w:val=""/>
      <w:lvlJc w:val="left"/>
      <w:pPr>
        <w:ind w:left="11736" w:hanging="360"/>
      </w:pPr>
      <w:rPr>
        <w:rFonts w:ascii="Wingdings" w:hAnsi="Wingdings" w:hint="default"/>
      </w:rPr>
    </w:lvl>
    <w:lvl w:ilvl="6" w:tplc="08090001" w:tentative="1">
      <w:start w:val="1"/>
      <w:numFmt w:val="bullet"/>
      <w:lvlText w:val=""/>
      <w:lvlJc w:val="left"/>
      <w:pPr>
        <w:ind w:left="12456" w:hanging="360"/>
      </w:pPr>
      <w:rPr>
        <w:rFonts w:ascii="Symbol" w:hAnsi="Symbol" w:hint="default"/>
      </w:rPr>
    </w:lvl>
    <w:lvl w:ilvl="7" w:tplc="08090003" w:tentative="1">
      <w:start w:val="1"/>
      <w:numFmt w:val="bullet"/>
      <w:lvlText w:val="o"/>
      <w:lvlJc w:val="left"/>
      <w:pPr>
        <w:ind w:left="13176" w:hanging="360"/>
      </w:pPr>
      <w:rPr>
        <w:rFonts w:ascii="Courier New" w:hAnsi="Courier New" w:hint="default"/>
      </w:rPr>
    </w:lvl>
    <w:lvl w:ilvl="8" w:tplc="08090005" w:tentative="1">
      <w:start w:val="1"/>
      <w:numFmt w:val="bullet"/>
      <w:lvlText w:val=""/>
      <w:lvlJc w:val="left"/>
      <w:pPr>
        <w:ind w:left="13896" w:hanging="360"/>
      </w:pPr>
      <w:rPr>
        <w:rFonts w:ascii="Wingdings" w:hAnsi="Wingdings" w:hint="default"/>
      </w:rPr>
    </w:lvl>
  </w:abstractNum>
  <w:abstractNum w:abstractNumId="13" w15:restartNumberingAfterBreak="0">
    <w:nsid w:val="26751F8A"/>
    <w:multiLevelType w:val="multilevel"/>
    <w:tmpl w:val="463A9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7C02124"/>
    <w:multiLevelType w:val="multilevel"/>
    <w:tmpl w:val="42566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C5909B4"/>
    <w:multiLevelType w:val="hybridMultilevel"/>
    <w:tmpl w:val="FAFC3708"/>
    <w:lvl w:ilvl="0" w:tplc="08090001">
      <w:start w:val="1"/>
      <w:numFmt w:val="bullet"/>
      <w:lvlText w:val=""/>
      <w:lvlJc w:val="left"/>
      <w:pPr>
        <w:ind w:left="6480" w:hanging="360"/>
      </w:pPr>
      <w:rPr>
        <w:rFonts w:ascii="Symbol" w:hAnsi="Symbol" w:hint="default"/>
      </w:rPr>
    </w:lvl>
    <w:lvl w:ilvl="1" w:tplc="08090003" w:tentative="1">
      <w:start w:val="1"/>
      <w:numFmt w:val="bullet"/>
      <w:lvlText w:val="o"/>
      <w:lvlJc w:val="left"/>
      <w:pPr>
        <w:ind w:left="7200" w:hanging="360"/>
      </w:pPr>
      <w:rPr>
        <w:rFonts w:ascii="Courier New" w:hAnsi="Courier New" w:hint="default"/>
      </w:rPr>
    </w:lvl>
    <w:lvl w:ilvl="2" w:tplc="08090005" w:tentative="1">
      <w:start w:val="1"/>
      <w:numFmt w:val="bullet"/>
      <w:lvlText w:val=""/>
      <w:lvlJc w:val="left"/>
      <w:pPr>
        <w:ind w:left="7920" w:hanging="360"/>
      </w:pPr>
      <w:rPr>
        <w:rFonts w:ascii="Wingdings" w:hAnsi="Wingdings" w:hint="default"/>
      </w:rPr>
    </w:lvl>
    <w:lvl w:ilvl="3" w:tplc="08090001" w:tentative="1">
      <w:start w:val="1"/>
      <w:numFmt w:val="bullet"/>
      <w:lvlText w:val=""/>
      <w:lvlJc w:val="left"/>
      <w:pPr>
        <w:ind w:left="8640" w:hanging="360"/>
      </w:pPr>
      <w:rPr>
        <w:rFonts w:ascii="Symbol" w:hAnsi="Symbol" w:hint="default"/>
      </w:rPr>
    </w:lvl>
    <w:lvl w:ilvl="4" w:tplc="08090003" w:tentative="1">
      <w:start w:val="1"/>
      <w:numFmt w:val="bullet"/>
      <w:lvlText w:val="o"/>
      <w:lvlJc w:val="left"/>
      <w:pPr>
        <w:ind w:left="9360" w:hanging="360"/>
      </w:pPr>
      <w:rPr>
        <w:rFonts w:ascii="Courier New" w:hAnsi="Courier New" w:hint="default"/>
      </w:rPr>
    </w:lvl>
    <w:lvl w:ilvl="5" w:tplc="08090005" w:tentative="1">
      <w:start w:val="1"/>
      <w:numFmt w:val="bullet"/>
      <w:lvlText w:val=""/>
      <w:lvlJc w:val="left"/>
      <w:pPr>
        <w:ind w:left="10080" w:hanging="360"/>
      </w:pPr>
      <w:rPr>
        <w:rFonts w:ascii="Wingdings" w:hAnsi="Wingdings" w:hint="default"/>
      </w:rPr>
    </w:lvl>
    <w:lvl w:ilvl="6" w:tplc="08090001" w:tentative="1">
      <w:start w:val="1"/>
      <w:numFmt w:val="bullet"/>
      <w:lvlText w:val=""/>
      <w:lvlJc w:val="left"/>
      <w:pPr>
        <w:ind w:left="10800" w:hanging="360"/>
      </w:pPr>
      <w:rPr>
        <w:rFonts w:ascii="Symbol" w:hAnsi="Symbol" w:hint="default"/>
      </w:rPr>
    </w:lvl>
    <w:lvl w:ilvl="7" w:tplc="08090003" w:tentative="1">
      <w:start w:val="1"/>
      <w:numFmt w:val="bullet"/>
      <w:lvlText w:val="o"/>
      <w:lvlJc w:val="left"/>
      <w:pPr>
        <w:ind w:left="11520" w:hanging="360"/>
      </w:pPr>
      <w:rPr>
        <w:rFonts w:ascii="Courier New" w:hAnsi="Courier New" w:hint="default"/>
      </w:rPr>
    </w:lvl>
    <w:lvl w:ilvl="8" w:tplc="08090005" w:tentative="1">
      <w:start w:val="1"/>
      <w:numFmt w:val="bullet"/>
      <w:lvlText w:val=""/>
      <w:lvlJc w:val="left"/>
      <w:pPr>
        <w:ind w:left="12240" w:hanging="360"/>
      </w:pPr>
      <w:rPr>
        <w:rFonts w:ascii="Wingdings" w:hAnsi="Wingdings" w:hint="default"/>
      </w:rPr>
    </w:lvl>
  </w:abstractNum>
  <w:abstractNum w:abstractNumId="16" w15:restartNumberingAfterBreak="0">
    <w:nsid w:val="364C491E"/>
    <w:multiLevelType w:val="multilevel"/>
    <w:tmpl w:val="5E6CD4C6"/>
    <w:lvl w:ilvl="0">
      <w:start w:val="1"/>
      <w:numFmt w:val="decimal"/>
      <w:lvlText w:val="%1."/>
      <w:lvlJc w:val="left"/>
      <w:pPr>
        <w:ind w:left="720" w:hanging="360"/>
      </w:pPr>
      <w:rPr>
        <w:rFonts w:ascii="Times New Roman" w:hAnsi="Times New Roman" w:cs="Times New Roman" w:hint="default"/>
        <w:b/>
        <w:b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77134E9"/>
    <w:multiLevelType w:val="hybridMultilevel"/>
    <w:tmpl w:val="9C1C82A8"/>
    <w:lvl w:ilvl="0" w:tplc="9FECCA2C">
      <w:start w:val="7"/>
      <w:numFmt w:val="bullet"/>
      <w:lvlText w:val="-"/>
      <w:lvlJc w:val="left"/>
      <w:pPr>
        <w:ind w:left="1080" w:hanging="360"/>
      </w:pPr>
      <w:rPr>
        <w:rFonts w:ascii="Times New Roman" w:eastAsiaTheme="minorEastAsia" w:hAnsi="Times New Roman" w:cs="Times New Roman" w:hint="default"/>
        <w:color w:val="000000" w:themeColor="text1"/>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3C776789"/>
    <w:multiLevelType w:val="hybridMultilevel"/>
    <w:tmpl w:val="7EF04472"/>
    <w:lvl w:ilvl="0" w:tplc="08090001">
      <w:start w:val="1"/>
      <w:numFmt w:val="bullet"/>
      <w:lvlText w:val=""/>
      <w:lvlJc w:val="left"/>
      <w:pPr>
        <w:ind w:left="9360" w:hanging="360"/>
      </w:pPr>
      <w:rPr>
        <w:rFonts w:ascii="Symbol" w:hAnsi="Symbol" w:hint="default"/>
      </w:rPr>
    </w:lvl>
    <w:lvl w:ilvl="1" w:tplc="08090003" w:tentative="1">
      <w:start w:val="1"/>
      <w:numFmt w:val="bullet"/>
      <w:lvlText w:val="o"/>
      <w:lvlJc w:val="left"/>
      <w:pPr>
        <w:ind w:left="10080" w:hanging="360"/>
      </w:pPr>
      <w:rPr>
        <w:rFonts w:ascii="Courier New" w:hAnsi="Courier New" w:hint="default"/>
      </w:rPr>
    </w:lvl>
    <w:lvl w:ilvl="2" w:tplc="08090005" w:tentative="1">
      <w:start w:val="1"/>
      <w:numFmt w:val="bullet"/>
      <w:lvlText w:val=""/>
      <w:lvlJc w:val="left"/>
      <w:pPr>
        <w:ind w:left="10800" w:hanging="360"/>
      </w:pPr>
      <w:rPr>
        <w:rFonts w:ascii="Wingdings" w:hAnsi="Wingdings" w:hint="default"/>
      </w:rPr>
    </w:lvl>
    <w:lvl w:ilvl="3" w:tplc="08090001" w:tentative="1">
      <w:start w:val="1"/>
      <w:numFmt w:val="bullet"/>
      <w:lvlText w:val=""/>
      <w:lvlJc w:val="left"/>
      <w:pPr>
        <w:ind w:left="11520" w:hanging="360"/>
      </w:pPr>
      <w:rPr>
        <w:rFonts w:ascii="Symbol" w:hAnsi="Symbol" w:hint="default"/>
      </w:rPr>
    </w:lvl>
    <w:lvl w:ilvl="4" w:tplc="08090003" w:tentative="1">
      <w:start w:val="1"/>
      <w:numFmt w:val="bullet"/>
      <w:lvlText w:val="o"/>
      <w:lvlJc w:val="left"/>
      <w:pPr>
        <w:ind w:left="12240" w:hanging="360"/>
      </w:pPr>
      <w:rPr>
        <w:rFonts w:ascii="Courier New" w:hAnsi="Courier New" w:hint="default"/>
      </w:rPr>
    </w:lvl>
    <w:lvl w:ilvl="5" w:tplc="08090005" w:tentative="1">
      <w:start w:val="1"/>
      <w:numFmt w:val="bullet"/>
      <w:lvlText w:val=""/>
      <w:lvlJc w:val="left"/>
      <w:pPr>
        <w:ind w:left="12960" w:hanging="360"/>
      </w:pPr>
      <w:rPr>
        <w:rFonts w:ascii="Wingdings" w:hAnsi="Wingdings" w:hint="default"/>
      </w:rPr>
    </w:lvl>
    <w:lvl w:ilvl="6" w:tplc="08090001" w:tentative="1">
      <w:start w:val="1"/>
      <w:numFmt w:val="bullet"/>
      <w:lvlText w:val=""/>
      <w:lvlJc w:val="left"/>
      <w:pPr>
        <w:ind w:left="13680" w:hanging="360"/>
      </w:pPr>
      <w:rPr>
        <w:rFonts w:ascii="Symbol" w:hAnsi="Symbol" w:hint="default"/>
      </w:rPr>
    </w:lvl>
    <w:lvl w:ilvl="7" w:tplc="08090003" w:tentative="1">
      <w:start w:val="1"/>
      <w:numFmt w:val="bullet"/>
      <w:lvlText w:val="o"/>
      <w:lvlJc w:val="left"/>
      <w:pPr>
        <w:ind w:left="14400" w:hanging="360"/>
      </w:pPr>
      <w:rPr>
        <w:rFonts w:ascii="Courier New" w:hAnsi="Courier New" w:hint="default"/>
      </w:rPr>
    </w:lvl>
    <w:lvl w:ilvl="8" w:tplc="08090005" w:tentative="1">
      <w:start w:val="1"/>
      <w:numFmt w:val="bullet"/>
      <w:lvlText w:val=""/>
      <w:lvlJc w:val="left"/>
      <w:pPr>
        <w:ind w:left="15120" w:hanging="360"/>
      </w:pPr>
      <w:rPr>
        <w:rFonts w:ascii="Wingdings" w:hAnsi="Wingdings" w:hint="default"/>
      </w:rPr>
    </w:lvl>
  </w:abstractNum>
  <w:abstractNum w:abstractNumId="19" w15:restartNumberingAfterBreak="0">
    <w:nsid w:val="3D7A29BD"/>
    <w:multiLevelType w:val="multilevel"/>
    <w:tmpl w:val="DE087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02B024C"/>
    <w:multiLevelType w:val="multilevel"/>
    <w:tmpl w:val="79E4BC0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4D15218"/>
    <w:multiLevelType w:val="multilevel"/>
    <w:tmpl w:val="424AA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55D5095"/>
    <w:multiLevelType w:val="hybridMultilevel"/>
    <w:tmpl w:val="79D21438"/>
    <w:lvl w:ilvl="0" w:tplc="08090001">
      <w:start w:val="1"/>
      <w:numFmt w:val="bullet"/>
      <w:lvlText w:val=""/>
      <w:lvlJc w:val="left"/>
      <w:pPr>
        <w:ind w:left="3600" w:hanging="360"/>
      </w:pPr>
      <w:rPr>
        <w:rFonts w:ascii="Symbol" w:hAnsi="Symbol" w:hint="default"/>
      </w:rPr>
    </w:lvl>
    <w:lvl w:ilvl="1" w:tplc="08090003" w:tentative="1">
      <w:start w:val="1"/>
      <w:numFmt w:val="bullet"/>
      <w:lvlText w:val="o"/>
      <w:lvlJc w:val="left"/>
      <w:pPr>
        <w:ind w:left="4320" w:hanging="360"/>
      </w:pPr>
      <w:rPr>
        <w:rFonts w:ascii="Courier New" w:hAnsi="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23" w15:restartNumberingAfterBreak="0">
    <w:nsid w:val="4AA26EF9"/>
    <w:multiLevelType w:val="hybridMultilevel"/>
    <w:tmpl w:val="394C7ED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4EAC6AF3"/>
    <w:multiLevelType w:val="multilevel"/>
    <w:tmpl w:val="91FA9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FD97297"/>
    <w:multiLevelType w:val="multilevel"/>
    <w:tmpl w:val="D13C7D8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3E118E5"/>
    <w:multiLevelType w:val="multilevel"/>
    <w:tmpl w:val="5E6CD4C6"/>
    <w:lvl w:ilvl="0">
      <w:start w:val="1"/>
      <w:numFmt w:val="decimal"/>
      <w:lvlText w:val="%1."/>
      <w:lvlJc w:val="left"/>
      <w:pPr>
        <w:ind w:left="720" w:hanging="360"/>
      </w:pPr>
      <w:rPr>
        <w:rFonts w:ascii="Times New Roman" w:hAnsi="Times New Roman" w:cs="Times New Roman" w:hint="default"/>
        <w:b/>
        <w:b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B0757F7"/>
    <w:multiLevelType w:val="hybridMultilevel"/>
    <w:tmpl w:val="E2044F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44A32D4"/>
    <w:multiLevelType w:val="multilevel"/>
    <w:tmpl w:val="6A3E6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7514D91"/>
    <w:multiLevelType w:val="multilevel"/>
    <w:tmpl w:val="166CB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BC70C74"/>
    <w:multiLevelType w:val="multilevel"/>
    <w:tmpl w:val="E130A32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6672184"/>
    <w:multiLevelType w:val="hybridMultilevel"/>
    <w:tmpl w:val="1518BD90"/>
    <w:lvl w:ilvl="0" w:tplc="08090001">
      <w:start w:val="1"/>
      <w:numFmt w:val="bullet"/>
      <w:lvlText w:val=""/>
      <w:lvlJc w:val="left"/>
      <w:pPr>
        <w:ind w:left="12240" w:hanging="360"/>
      </w:pPr>
      <w:rPr>
        <w:rFonts w:ascii="Symbol" w:hAnsi="Symbol" w:hint="default"/>
      </w:rPr>
    </w:lvl>
    <w:lvl w:ilvl="1" w:tplc="08090003" w:tentative="1">
      <w:start w:val="1"/>
      <w:numFmt w:val="bullet"/>
      <w:lvlText w:val="o"/>
      <w:lvlJc w:val="left"/>
      <w:pPr>
        <w:ind w:left="12960" w:hanging="360"/>
      </w:pPr>
      <w:rPr>
        <w:rFonts w:ascii="Courier New" w:hAnsi="Courier New" w:hint="default"/>
      </w:rPr>
    </w:lvl>
    <w:lvl w:ilvl="2" w:tplc="08090005" w:tentative="1">
      <w:start w:val="1"/>
      <w:numFmt w:val="bullet"/>
      <w:lvlText w:val=""/>
      <w:lvlJc w:val="left"/>
      <w:pPr>
        <w:ind w:left="13680" w:hanging="360"/>
      </w:pPr>
      <w:rPr>
        <w:rFonts w:ascii="Wingdings" w:hAnsi="Wingdings" w:hint="default"/>
      </w:rPr>
    </w:lvl>
    <w:lvl w:ilvl="3" w:tplc="08090001" w:tentative="1">
      <w:start w:val="1"/>
      <w:numFmt w:val="bullet"/>
      <w:lvlText w:val=""/>
      <w:lvlJc w:val="left"/>
      <w:pPr>
        <w:ind w:left="14400" w:hanging="360"/>
      </w:pPr>
      <w:rPr>
        <w:rFonts w:ascii="Symbol" w:hAnsi="Symbol" w:hint="default"/>
      </w:rPr>
    </w:lvl>
    <w:lvl w:ilvl="4" w:tplc="08090003" w:tentative="1">
      <w:start w:val="1"/>
      <w:numFmt w:val="bullet"/>
      <w:lvlText w:val="o"/>
      <w:lvlJc w:val="left"/>
      <w:pPr>
        <w:ind w:left="15120" w:hanging="360"/>
      </w:pPr>
      <w:rPr>
        <w:rFonts w:ascii="Courier New" w:hAnsi="Courier New" w:hint="default"/>
      </w:rPr>
    </w:lvl>
    <w:lvl w:ilvl="5" w:tplc="08090005" w:tentative="1">
      <w:start w:val="1"/>
      <w:numFmt w:val="bullet"/>
      <w:lvlText w:val=""/>
      <w:lvlJc w:val="left"/>
      <w:pPr>
        <w:ind w:left="15840" w:hanging="360"/>
      </w:pPr>
      <w:rPr>
        <w:rFonts w:ascii="Wingdings" w:hAnsi="Wingdings" w:hint="default"/>
      </w:rPr>
    </w:lvl>
    <w:lvl w:ilvl="6" w:tplc="08090001" w:tentative="1">
      <w:start w:val="1"/>
      <w:numFmt w:val="bullet"/>
      <w:lvlText w:val=""/>
      <w:lvlJc w:val="left"/>
      <w:pPr>
        <w:ind w:left="16560" w:hanging="360"/>
      </w:pPr>
      <w:rPr>
        <w:rFonts w:ascii="Symbol" w:hAnsi="Symbol" w:hint="default"/>
      </w:rPr>
    </w:lvl>
    <w:lvl w:ilvl="7" w:tplc="08090003" w:tentative="1">
      <w:start w:val="1"/>
      <w:numFmt w:val="bullet"/>
      <w:lvlText w:val="o"/>
      <w:lvlJc w:val="left"/>
      <w:pPr>
        <w:ind w:left="17280" w:hanging="360"/>
      </w:pPr>
      <w:rPr>
        <w:rFonts w:ascii="Courier New" w:hAnsi="Courier New" w:hint="default"/>
      </w:rPr>
    </w:lvl>
    <w:lvl w:ilvl="8" w:tplc="08090005" w:tentative="1">
      <w:start w:val="1"/>
      <w:numFmt w:val="bullet"/>
      <w:lvlText w:val=""/>
      <w:lvlJc w:val="left"/>
      <w:pPr>
        <w:ind w:left="18000" w:hanging="360"/>
      </w:pPr>
      <w:rPr>
        <w:rFonts w:ascii="Wingdings" w:hAnsi="Wingdings" w:hint="default"/>
      </w:rPr>
    </w:lvl>
  </w:abstractNum>
  <w:abstractNum w:abstractNumId="32" w15:restartNumberingAfterBreak="0">
    <w:nsid w:val="76CF472F"/>
    <w:multiLevelType w:val="multilevel"/>
    <w:tmpl w:val="2D547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81275697">
    <w:abstractNumId w:val="9"/>
  </w:num>
  <w:num w:numId="2" w16cid:durableId="1222209391">
    <w:abstractNumId w:val="7"/>
  </w:num>
  <w:num w:numId="3" w16cid:durableId="1489050924">
    <w:abstractNumId w:val="6"/>
  </w:num>
  <w:num w:numId="4" w16cid:durableId="727530718">
    <w:abstractNumId w:val="5"/>
  </w:num>
  <w:num w:numId="5" w16cid:durableId="659891530">
    <w:abstractNumId w:val="4"/>
  </w:num>
  <w:num w:numId="6" w16cid:durableId="364643725">
    <w:abstractNumId w:val="8"/>
  </w:num>
  <w:num w:numId="7" w16cid:durableId="1320425898">
    <w:abstractNumId w:val="3"/>
  </w:num>
  <w:num w:numId="8" w16cid:durableId="929773249">
    <w:abstractNumId w:val="2"/>
  </w:num>
  <w:num w:numId="9" w16cid:durableId="249897907">
    <w:abstractNumId w:val="1"/>
  </w:num>
  <w:num w:numId="10" w16cid:durableId="1108231634">
    <w:abstractNumId w:val="0"/>
  </w:num>
  <w:num w:numId="11" w16cid:durableId="1023167579">
    <w:abstractNumId w:val="10"/>
  </w:num>
  <w:num w:numId="12" w16cid:durableId="1595478669">
    <w:abstractNumId w:val="12"/>
  </w:num>
  <w:num w:numId="13" w16cid:durableId="2036926301">
    <w:abstractNumId w:val="22"/>
  </w:num>
  <w:num w:numId="14" w16cid:durableId="352418251">
    <w:abstractNumId w:val="15"/>
  </w:num>
  <w:num w:numId="15" w16cid:durableId="2054579361">
    <w:abstractNumId w:val="18"/>
  </w:num>
  <w:num w:numId="16" w16cid:durableId="993292263">
    <w:abstractNumId w:val="31"/>
  </w:num>
  <w:num w:numId="17" w16cid:durableId="1200629731">
    <w:abstractNumId w:val="23"/>
  </w:num>
  <w:num w:numId="18" w16cid:durableId="48699783">
    <w:abstractNumId w:val="26"/>
  </w:num>
  <w:num w:numId="19" w16cid:durableId="716779992">
    <w:abstractNumId w:val="16"/>
  </w:num>
  <w:num w:numId="20" w16cid:durableId="1701515759">
    <w:abstractNumId w:val="17"/>
  </w:num>
  <w:num w:numId="21" w16cid:durableId="1970158794">
    <w:abstractNumId w:val="25"/>
  </w:num>
  <w:num w:numId="22" w16cid:durableId="851993655">
    <w:abstractNumId w:val="20"/>
  </w:num>
  <w:num w:numId="23" w16cid:durableId="1296374363">
    <w:abstractNumId w:val="30"/>
  </w:num>
  <w:num w:numId="24" w16cid:durableId="539902038">
    <w:abstractNumId w:val="27"/>
  </w:num>
  <w:num w:numId="25" w16cid:durableId="655456215">
    <w:abstractNumId w:val="32"/>
  </w:num>
  <w:num w:numId="26" w16cid:durableId="111438570">
    <w:abstractNumId w:val="24"/>
  </w:num>
  <w:num w:numId="27" w16cid:durableId="279530216">
    <w:abstractNumId w:val="11"/>
  </w:num>
  <w:num w:numId="28" w16cid:durableId="433865740">
    <w:abstractNumId w:val="14"/>
  </w:num>
  <w:num w:numId="29" w16cid:durableId="185605901">
    <w:abstractNumId w:val="28"/>
  </w:num>
  <w:num w:numId="30" w16cid:durableId="411467362">
    <w:abstractNumId w:val="29"/>
  </w:num>
  <w:num w:numId="31" w16cid:durableId="871695333">
    <w:abstractNumId w:val="19"/>
  </w:num>
  <w:num w:numId="32" w16cid:durableId="1930694205">
    <w:abstractNumId w:val="21"/>
  </w:num>
  <w:num w:numId="33" w16cid:durableId="1895653099">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aperpile-clusterType" w:val="normal"/>
    <w:docVar w:name="paperpile-doc-id" w:val="M295A355W746U467"/>
    <w:docVar w:name="paperpile-doc-name" w:val="Samiotis-DASS in TBI manuscript_final.docx"/>
    <w:docVar w:name="paperpile-includeDoi" w:val="true"/>
    <w:docVar w:name="paperpile-styleFile" w:val="apa-7th-edition.csl"/>
    <w:docVar w:name="paperpile-styleId" w:val="pp-apa7"/>
    <w:docVar w:name="paperpile-styleLabel" w:val="American Psychological Association 7th edition"/>
    <w:docVar w:name="paperpile-styleLocale" w:val="en-US"/>
  </w:docVars>
  <w:rsids>
    <w:rsidRoot w:val="00B314D2"/>
    <w:rsid w:val="00000451"/>
    <w:rsid w:val="0000072C"/>
    <w:rsid w:val="0000087D"/>
    <w:rsid w:val="00000EC1"/>
    <w:rsid w:val="00001849"/>
    <w:rsid w:val="00001DA0"/>
    <w:rsid w:val="00001F7E"/>
    <w:rsid w:val="0000212A"/>
    <w:rsid w:val="0000254A"/>
    <w:rsid w:val="00002E15"/>
    <w:rsid w:val="00002E31"/>
    <w:rsid w:val="00003B1E"/>
    <w:rsid w:val="000049AB"/>
    <w:rsid w:val="00005779"/>
    <w:rsid w:val="00005C8E"/>
    <w:rsid w:val="00005DE0"/>
    <w:rsid w:val="00006619"/>
    <w:rsid w:val="00006AE2"/>
    <w:rsid w:val="00006E7A"/>
    <w:rsid w:val="0000714D"/>
    <w:rsid w:val="0000776A"/>
    <w:rsid w:val="00010281"/>
    <w:rsid w:val="00010412"/>
    <w:rsid w:val="000109AF"/>
    <w:rsid w:val="00010E02"/>
    <w:rsid w:val="00011CBD"/>
    <w:rsid w:val="00011D0D"/>
    <w:rsid w:val="000129E7"/>
    <w:rsid w:val="00012C8A"/>
    <w:rsid w:val="00013118"/>
    <w:rsid w:val="00013447"/>
    <w:rsid w:val="0001345C"/>
    <w:rsid w:val="0001435A"/>
    <w:rsid w:val="00014648"/>
    <w:rsid w:val="00015184"/>
    <w:rsid w:val="00015355"/>
    <w:rsid w:val="00015D58"/>
    <w:rsid w:val="00016540"/>
    <w:rsid w:val="00016666"/>
    <w:rsid w:val="00016CED"/>
    <w:rsid w:val="00016E5F"/>
    <w:rsid w:val="00017408"/>
    <w:rsid w:val="00017E28"/>
    <w:rsid w:val="000201A0"/>
    <w:rsid w:val="00020BA1"/>
    <w:rsid w:val="000216BB"/>
    <w:rsid w:val="00021823"/>
    <w:rsid w:val="00021AE5"/>
    <w:rsid w:val="0002240D"/>
    <w:rsid w:val="0002269D"/>
    <w:rsid w:val="000233C5"/>
    <w:rsid w:val="000233F9"/>
    <w:rsid w:val="0002519D"/>
    <w:rsid w:val="000253B5"/>
    <w:rsid w:val="00025615"/>
    <w:rsid w:val="0002620A"/>
    <w:rsid w:val="00026BCE"/>
    <w:rsid w:val="00030A72"/>
    <w:rsid w:val="00030AD2"/>
    <w:rsid w:val="00031246"/>
    <w:rsid w:val="00032091"/>
    <w:rsid w:val="000328CD"/>
    <w:rsid w:val="00033079"/>
    <w:rsid w:val="00033C11"/>
    <w:rsid w:val="00034061"/>
    <w:rsid w:val="00034131"/>
    <w:rsid w:val="00034E60"/>
    <w:rsid w:val="00035B1B"/>
    <w:rsid w:val="00036795"/>
    <w:rsid w:val="000375CF"/>
    <w:rsid w:val="000376F5"/>
    <w:rsid w:val="000377F8"/>
    <w:rsid w:val="00037BCD"/>
    <w:rsid w:val="0004015B"/>
    <w:rsid w:val="00040404"/>
    <w:rsid w:val="00040AD2"/>
    <w:rsid w:val="000410A2"/>
    <w:rsid w:val="000410C9"/>
    <w:rsid w:val="00041E81"/>
    <w:rsid w:val="000421C3"/>
    <w:rsid w:val="000428B1"/>
    <w:rsid w:val="00042ED8"/>
    <w:rsid w:val="000434D0"/>
    <w:rsid w:val="00043C7B"/>
    <w:rsid w:val="00043CBB"/>
    <w:rsid w:val="00043F5F"/>
    <w:rsid w:val="0004413D"/>
    <w:rsid w:val="000443C8"/>
    <w:rsid w:val="00044F83"/>
    <w:rsid w:val="000455C4"/>
    <w:rsid w:val="00045BF7"/>
    <w:rsid w:val="00045CD5"/>
    <w:rsid w:val="00045CDB"/>
    <w:rsid w:val="000469FA"/>
    <w:rsid w:val="000469FB"/>
    <w:rsid w:val="0004700F"/>
    <w:rsid w:val="0004703A"/>
    <w:rsid w:val="000471A2"/>
    <w:rsid w:val="00047A4D"/>
    <w:rsid w:val="00047F6C"/>
    <w:rsid w:val="00047F9B"/>
    <w:rsid w:val="00050E5B"/>
    <w:rsid w:val="00051298"/>
    <w:rsid w:val="000513D2"/>
    <w:rsid w:val="00052A84"/>
    <w:rsid w:val="0005352F"/>
    <w:rsid w:val="00053CB5"/>
    <w:rsid w:val="000545AC"/>
    <w:rsid w:val="0005495A"/>
    <w:rsid w:val="000552A4"/>
    <w:rsid w:val="00055864"/>
    <w:rsid w:val="00055A20"/>
    <w:rsid w:val="00055BB5"/>
    <w:rsid w:val="0005631F"/>
    <w:rsid w:val="00056E59"/>
    <w:rsid w:val="000572D0"/>
    <w:rsid w:val="00057328"/>
    <w:rsid w:val="00057542"/>
    <w:rsid w:val="00057FD2"/>
    <w:rsid w:val="00060169"/>
    <w:rsid w:val="0006054D"/>
    <w:rsid w:val="000606D6"/>
    <w:rsid w:val="000609C2"/>
    <w:rsid w:val="00060BEE"/>
    <w:rsid w:val="00061499"/>
    <w:rsid w:val="00061864"/>
    <w:rsid w:val="00061B4E"/>
    <w:rsid w:val="00061B69"/>
    <w:rsid w:val="0006240D"/>
    <w:rsid w:val="00063DE9"/>
    <w:rsid w:val="00063FFE"/>
    <w:rsid w:val="00064667"/>
    <w:rsid w:val="0006498A"/>
    <w:rsid w:val="00065162"/>
    <w:rsid w:val="00065376"/>
    <w:rsid w:val="0006633C"/>
    <w:rsid w:val="00066A57"/>
    <w:rsid w:val="00066D99"/>
    <w:rsid w:val="000672D2"/>
    <w:rsid w:val="00067A2E"/>
    <w:rsid w:val="0007118E"/>
    <w:rsid w:val="00071636"/>
    <w:rsid w:val="000728D0"/>
    <w:rsid w:val="00072CCA"/>
    <w:rsid w:val="00073D09"/>
    <w:rsid w:val="000742F8"/>
    <w:rsid w:val="000746FA"/>
    <w:rsid w:val="00075180"/>
    <w:rsid w:val="000755E3"/>
    <w:rsid w:val="000756DA"/>
    <w:rsid w:val="000757D9"/>
    <w:rsid w:val="00075C7F"/>
    <w:rsid w:val="00076137"/>
    <w:rsid w:val="00076507"/>
    <w:rsid w:val="0007679E"/>
    <w:rsid w:val="0007680E"/>
    <w:rsid w:val="000774D8"/>
    <w:rsid w:val="00077541"/>
    <w:rsid w:val="00077754"/>
    <w:rsid w:val="0007790B"/>
    <w:rsid w:val="0008032B"/>
    <w:rsid w:val="00080556"/>
    <w:rsid w:val="00080C2E"/>
    <w:rsid w:val="00080C7F"/>
    <w:rsid w:val="00081058"/>
    <w:rsid w:val="00082342"/>
    <w:rsid w:val="00082E91"/>
    <w:rsid w:val="00082F6D"/>
    <w:rsid w:val="00083324"/>
    <w:rsid w:val="000838E5"/>
    <w:rsid w:val="000843B4"/>
    <w:rsid w:val="0008522C"/>
    <w:rsid w:val="000855CF"/>
    <w:rsid w:val="00085A81"/>
    <w:rsid w:val="00085C58"/>
    <w:rsid w:val="00085E16"/>
    <w:rsid w:val="00086263"/>
    <w:rsid w:val="000863E8"/>
    <w:rsid w:val="00086E82"/>
    <w:rsid w:val="00087087"/>
    <w:rsid w:val="000878EE"/>
    <w:rsid w:val="00087B35"/>
    <w:rsid w:val="00087E16"/>
    <w:rsid w:val="0009000A"/>
    <w:rsid w:val="000901CA"/>
    <w:rsid w:val="00090738"/>
    <w:rsid w:val="00090A5E"/>
    <w:rsid w:val="00091534"/>
    <w:rsid w:val="0009155B"/>
    <w:rsid w:val="000916F7"/>
    <w:rsid w:val="00091CF7"/>
    <w:rsid w:val="00092327"/>
    <w:rsid w:val="00092554"/>
    <w:rsid w:val="0009284B"/>
    <w:rsid w:val="00092B73"/>
    <w:rsid w:val="00092D4C"/>
    <w:rsid w:val="00092E3A"/>
    <w:rsid w:val="00093A6A"/>
    <w:rsid w:val="000945DE"/>
    <w:rsid w:val="000945F3"/>
    <w:rsid w:val="0009494B"/>
    <w:rsid w:val="00094CD3"/>
    <w:rsid w:val="000954F1"/>
    <w:rsid w:val="00095740"/>
    <w:rsid w:val="000957F5"/>
    <w:rsid w:val="0009614D"/>
    <w:rsid w:val="000969A1"/>
    <w:rsid w:val="000979C7"/>
    <w:rsid w:val="000A005C"/>
    <w:rsid w:val="000A0C0B"/>
    <w:rsid w:val="000A2783"/>
    <w:rsid w:val="000A29A1"/>
    <w:rsid w:val="000A2B71"/>
    <w:rsid w:val="000A2D8D"/>
    <w:rsid w:val="000A2FFB"/>
    <w:rsid w:val="000A332F"/>
    <w:rsid w:val="000A386A"/>
    <w:rsid w:val="000A402F"/>
    <w:rsid w:val="000A426D"/>
    <w:rsid w:val="000A46CB"/>
    <w:rsid w:val="000A4D0A"/>
    <w:rsid w:val="000A5137"/>
    <w:rsid w:val="000A57CD"/>
    <w:rsid w:val="000A60EE"/>
    <w:rsid w:val="000A6374"/>
    <w:rsid w:val="000A66EF"/>
    <w:rsid w:val="000A6DF3"/>
    <w:rsid w:val="000A70A3"/>
    <w:rsid w:val="000A70FD"/>
    <w:rsid w:val="000A70FF"/>
    <w:rsid w:val="000A7677"/>
    <w:rsid w:val="000A7AB9"/>
    <w:rsid w:val="000A7DEF"/>
    <w:rsid w:val="000B037D"/>
    <w:rsid w:val="000B0740"/>
    <w:rsid w:val="000B0C2F"/>
    <w:rsid w:val="000B0ED9"/>
    <w:rsid w:val="000B0F02"/>
    <w:rsid w:val="000B0F72"/>
    <w:rsid w:val="000B1910"/>
    <w:rsid w:val="000B1F55"/>
    <w:rsid w:val="000B2CD7"/>
    <w:rsid w:val="000B3552"/>
    <w:rsid w:val="000B35EE"/>
    <w:rsid w:val="000B3C72"/>
    <w:rsid w:val="000B5659"/>
    <w:rsid w:val="000B597D"/>
    <w:rsid w:val="000B5BCA"/>
    <w:rsid w:val="000B5EC9"/>
    <w:rsid w:val="000B6175"/>
    <w:rsid w:val="000B6B6E"/>
    <w:rsid w:val="000B6C1B"/>
    <w:rsid w:val="000B6C4F"/>
    <w:rsid w:val="000B6FE9"/>
    <w:rsid w:val="000B728B"/>
    <w:rsid w:val="000B77F1"/>
    <w:rsid w:val="000B7F59"/>
    <w:rsid w:val="000C0126"/>
    <w:rsid w:val="000C0224"/>
    <w:rsid w:val="000C0E8D"/>
    <w:rsid w:val="000C1156"/>
    <w:rsid w:val="000C13FA"/>
    <w:rsid w:val="000C1630"/>
    <w:rsid w:val="000C19E9"/>
    <w:rsid w:val="000C1E7F"/>
    <w:rsid w:val="000C2457"/>
    <w:rsid w:val="000C24F6"/>
    <w:rsid w:val="000C2D54"/>
    <w:rsid w:val="000C37DC"/>
    <w:rsid w:val="000C3E7D"/>
    <w:rsid w:val="000C4256"/>
    <w:rsid w:val="000C428E"/>
    <w:rsid w:val="000C436F"/>
    <w:rsid w:val="000C4504"/>
    <w:rsid w:val="000C47A4"/>
    <w:rsid w:val="000C4B88"/>
    <w:rsid w:val="000C4DEE"/>
    <w:rsid w:val="000C5188"/>
    <w:rsid w:val="000C52C9"/>
    <w:rsid w:val="000C59B5"/>
    <w:rsid w:val="000C5B19"/>
    <w:rsid w:val="000C6927"/>
    <w:rsid w:val="000C7D22"/>
    <w:rsid w:val="000C7DCC"/>
    <w:rsid w:val="000C7DD0"/>
    <w:rsid w:val="000D029D"/>
    <w:rsid w:val="000D076A"/>
    <w:rsid w:val="000D0A01"/>
    <w:rsid w:val="000D0D2A"/>
    <w:rsid w:val="000D16D4"/>
    <w:rsid w:val="000D17E7"/>
    <w:rsid w:val="000D20D9"/>
    <w:rsid w:val="000D2136"/>
    <w:rsid w:val="000D2527"/>
    <w:rsid w:val="000D2575"/>
    <w:rsid w:val="000D2D6D"/>
    <w:rsid w:val="000D3A7C"/>
    <w:rsid w:val="000D3D73"/>
    <w:rsid w:val="000D41B3"/>
    <w:rsid w:val="000D446C"/>
    <w:rsid w:val="000D4CC6"/>
    <w:rsid w:val="000D573C"/>
    <w:rsid w:val="000D5B1E"/>
    <w:rsid w:val="000D5B24"/>
    <w:rsid w:val="000D6307"/>
    <w:rsid w:val="000D6344"/>
    <w:rsid w:val="000D65F4"/>
    <w:rsid w:val="000D6651"/>
    <w:rsid w:val="000D6C0F"/>
    <w:rsid w:val="000D6E4B"/>
    <w:rsid w:val="000D73B9"/>
    <w:rsid w:val="000D7A54"/>
    <w:rsid w:val="000D7B2C"/>
    <w:rsid w:val="000E0720"/>
    <w:rsid w:val="000E0832"/>
    <w:rsid w:val="000E0906"/>
    <w:rsid w:val="000E0D6A"/>
    <w:rsid w:val="000E0DEC"/>
    <w:rsid w:val="000E15EB"/>
    <w:rsid w:val="000E1C82"/>
    <w:rsid w:val="000E2CDD"/>
    <w:rsid w:val="000E3FB7"/>
    <w:rsid w:val="000E46B2"/>
    <w:rsid w:val="000E5126"/>
    <w:rsid w:val="000E59A7"/>
    <w:rsid w:val="000E68A8"/>
    <w:rsid w:val="000E6D25"/>
    <w:rsid w:val="000E6FD8"/>
    <w:rsid w:val="000E71D5"/>
    <w:rsid w:val="000E7EBA"/>
    <w:rsid w:val="000F08F3"/>
    <w:rsid w:val="000F1450"/>
    <w:rsid w:val="000F1803"/>
    <w:rsid w:val="000F19C0"/>
    <w:rsid w:val="000F20D0"/>
    <w:rsid w:val="000F252F"/>
    <w:rsid w:val="000F26FE"/>
    <w:rsid w:val="000F2701"/>
    <w:rsid w:val="000F2909"/>
    <w:rsid w:val="000F2D14"/>
    <w:rsid w:val="000F2EF8"/>
    <w:rsid w:val="000F36D1"/>
    <w:rsid w:val="000F3813"/>
    <w:rsid w:val="000F394B"/>
    <w:rsid w:val="000F4BAE"/>
    <w:rsid w:val="000F54B9"/>
    <w:rsid w:val="000F5CD9"/>
    <w:rsid w:val="000F6C74"/>
    <w:rsid w:val="000F6D27"/>
    <w:rsid w:val="000F6D7D"/>
    <w:rsid w:val="000F6E39"/>
    <w:rsid w:val="000F7125"/>
    <w:rsid w:val="000F737A"/>
    <w:rsid w:val="000F7A35"/>
    <w:rsid w:val="000F7D46"/>
    <w:rsid w:val="0010015B"/>
    <w:rsid w:val="001005CD"/>
    <w:rsid w:val="001007C5"/>
    <w:rsid w:val="00100BEE"/>
    <w:rsid w:val="00100F6F"/>
    <w:rsid w:val="0010145A"/>
    <w:rsid w:val="00101606"/>
    <w:rsid w:val="00101670"/>
    <w:rsid w:val="00102059"/>
    <w:rsid w:val="00102361"/>
    <w:rsid w:val="001028CE"/>
    <w:rsid w:val="00102955"/>
    <w:rsid w:val="0010321B"/>
    <w:rsid w:val="001035A8"/>
    <w:rsid w:val="0010367F"/>
    <w:rsid w:val="00103968"/>
    <w:rsid w:val="001040EA"/>
    <w:rsid w:val="001043FD"/>
    <w:rsid w:val="00104440"/>
    <w:rsid w:val="00105571"/>
    <w:rsid w:val="001055FB"/>
    <w:rsid w:val="0010589F"/>
    <w:rsid w:val="0010595F"/>
    <w:rsid w:val="00105C65"/>
    <w:rsid w:val="00105ED1"/>
    <w:rsid w:val="00105F5C"/>
    <w:rsid w:val="00106372"/>
    <w:rsid w:val="00106AAC"/>
    <w:rsid w:val="0010721B"/>
    <w:rsid w:val="00107D7F"/>
    <w:rsid w:val="001100FD"/>
    <w:rsid w:val="00110658"/>
    <w:rsid w:val="00110DDB"/>
    <w:rsid w:val="00110E84"/>
    <w:rsid w:val="00110FD4"/>
    <w:rsid w:val="001121FC"/>
    <w:rsid w:val="001122E5"/>
    <w:rsid w:val="0011239A"/>
    <w:rsid w:val="00112BB9"/>
    <w:rsid w:val="00112FE7"/>
    <w:rsid w:val="001136CE"/>
    <w:rsid w:val="0011382F"/>
    <w:rsid w:val="001139E9"/>
    <w:rsid w:val="00113F2D"/>
    <w:rsid w:val="00114B60"/>
    <w:rsid w:val="00115408"/>
    <w:rsid w:val="00115438"/>
    <w:rsid w:val="00115A1C"/>
    <w:rsid w:val="00115DC0"/>
    <w:rsid w:val="00115DE0"/>
    <w:rsid w:val="00116306"/>
    <w:rsid w:val="00116618"/>
    <w:rsid w:val="00116883"/>
    <w:rsid w:val="001201B9"/>
    <w:rsid w:val="00120349"/>
    <w:rsid w:val="001204EE"/>
    <w:rsid w:val="001205AF"/>
    <w:rsid w:val="001207D1"/>
    <w:rsid w:val="00120F6C"/>
    <w:rsid w:val="00121315"/>
    <w:rsid w:val="00121456"/>
    <w:rsid w:val="00121C1F"/>
    <w:rsid w:val="00121CAA"/>
    <w:rsid w:val="00122079"/>
    <w:rsid w:val="001226E3"/>
    <w:rsid w:val="00122B09"/>
    <w:rsid w:val="00122CF5"/>
    <w:rsid w:val="00123F3D"/>
    <w:rsid w:val="001240DE"/>
    <w:rsid w:val="00124352"/>
    <w:rsid w:val="0012467A"/>
    <w:rsid w:val="00124720"/>
    <w:rsid w:val="00124F3B"/>
    <w:rsid w:val="00125116"/>
    <w:rsid w:val="001257B3"/>
    <w:rsid w:val="00125ACD"/>
    <w:rsid w:val="00125C99"/>
    <w:rsid w:val="00125F80"/>
    <w:rsid w:val="001260D1"/>
    <w:rsid w:val="00126BD3"/>
    <w:rsid w:val="00127263"/>
    <w:rsid w:val="00127689"/>
    <w:rsid w:val="00127BCD"/>
    <w:rsid w:val="001301D7"/>
    <w:rsid w:val="00130794"/>
    <w:rsid w:val="00131690"/>
    <w:rsid w:val="001316EA"/>
    <w:rsid w:val="00131A21"/>
    <w:rsid w:val="00131C22"/>
    <w:rsid w:val="00131E08"/>
    <w:rsid w:val="001325EC"/>
    <w:rsid w:val="00132BB0"/>
    <w:rsid w:val="0013308F"/>
    <w:rsid w:val="0013317F"/>
    <w:rsid w:val="0013356D"/>
    <w:rsid w:val="0013415E"/>
    <w:rsid w:val="00134872"/>
    <w:rsid w:val="001349A4"/>
    <w:rsid w:val="00134B5F"/>
    <w:rsid w:val="0013537C"/>
    <w:rsid w:val="0013586C"/>
    <w:rsid w:val="00135CD2"/>
    <w:rsid w:val="00135DF9"/>
    <w:rsid w:val="00135F80"/>
    <w:rsid w:val="00136877"/>
    <w:rsid w:val="00136A07"/>
    <w:rsid w:val="001376AD"/>
    <w:rsid w:val="00137AC0"/>
    <w:rsid w:val="00137E90"/>
    <w:rsid w:val="001400AC"/>
    <w:rsid w:val="00140367"/>
    <w:rsid w:val="00140426"/>
    <w:rsid w:val="0014043D"/>
    <w:rsid w:val="0014072F"/>
    <w:rsid w:val="00140861"/>
    <w:rsid w:val="00140CE7"/>
    <w:rsid w:val="00141504"/>
    <w:rsid w:val="00141A47"/>
    <w:rsid w:val="001421B3"/>
    <w:rsid w:val="00142759"/>
    <w:rsid w:val="00142BDC"/>
    <w:rsid w:val="001439A8"/>
    <w:rsid w:val="00143B1C"/>
    <w:rsid w:val="00143DA3"/>
    <w:rsid w:val="00143E70"/>
    <w:rsid w:val="001442B3"/>
    <w:rsid w:val="00144B12"/>
    <w:rsid w:val="00144D19"/>
    <w:rsid w:val="0014542E"/>
    <w:rsid w:val="00145CF5"/>
    <w:rsid w:val="00146387"/>
    <w:rsid w:val="00146712"/>
    <w:rsid w:val="00146F40"/>
    <w:rsid w:val="001472FD"/>
    <w:rsid w:val="0014735F"/>
    <w:rsid w:val="001478F9"/>
    <w:rsid w:val="00147D70"/>
    <w:rsid w:val="00150AE6"/>
    <w:rsid w:val="00151787"/>
    <w:rsid w:val="00151D0A"/>
    <w:rsid w:val="00151F6A"/>
    <w:rsid w:val="0015209B"/>
    <w:rsid w:val="001526DD"/>
    <w:rsid w:val="00152741"/>
    <w:rsid w:val="001529E5"/>
    <w:rsid w:val="00152BCD"/>
    <w:rsid w:val="00152D0B"/>
    <w:rsid w:val="001537D6"/>
    <w:rsid w:val="00153A0E"/>
    <w:rsid w:val="00153A58"/>
    <w:rsid w:val="00153C2F"/>
    <w:rsid w:val="001548FD"/>
    <w:rsid w:val="001554D3"/>
    <w:rsid w:val="00155833"/>
    <w:rsid w:val="00155942"/>
    <w:rsid w:val="00155E6B"/>
    <w:rsid w:val="0015650E"/>
    <w:rsid w:val="00156B68"/>
    <w:rsid w:val="00156C00"/>
    <w:rsid w:val="00156C52"/>
    <w:rsid w:val="00156F6C"/>
    <w:rsid w:val="0015743F"/>
    <w:rsid w:val="001578DA"/>
    <w:rsid w:val="00157BC1"/>
    <w:rsid w:val="001602BF"/>
    <w:rsid w:val="00160436"/>
    <w:rsid w:val="001607E9"/>
    <w:rsid w:val="00161502"/>
    <w:rsid w:val="00161D71"/>
    <w:rsid w:val="0016244C"/>
    <w:rsid w:val="0016255B"/>
    <w:rsid w:val="00162750"/>
    <w:rsid w:val="0016297D"/>
    <w:rsid w:val="00162A87"/>
    <w:rsid w:val="00162DAC"/>
    <w:rsid w:val="0016354E"/>
    <w:rsid w:val="001639B5"/>
    <w:rsid w:val="00163BB3"/>
    <w:rsid w:val="00164CA1"/>
    <w:rsid w:val="00164EB1"/>
    <w:rsid w:val="00165E99"/>
    <w:rsid w:val="00165FDF"/>
    <w:rsid w:val="00166409"/>
    <w:rsid w:val="00166464"/>
    <w:rsid w:val="00166666"/>
    <w:rsid w:val="00166E0D"/>
    <w:rsid w:val="001679F5"/>
    <w:rsid w:val="00170AD9"/>
    <w:rsid w:val="00170B96"/>
    <w:rsid w:val="001712A7"/>
    <w:rsid w:val="00171B57"/>
    <w:rsid w:val="001741B8"/>
    <w:rsid w:val="0017462A"/>
    <w:rsid w:val="001751F6"/>
    <w:rsid w:val="00175395"/>
    <w:rsid w:val="00175613"/>
    <w:rsid w:val="00175B9B"/>
    <w:rsid w:val="00176070"/>
    <w:rsid w:val="001763D5"/>
    <w:rsid w:val="0017643F"/>
    <w:rsid w:val="001777AA"/>
    <w:rsid w:val="00177801"/>
    <w:rsid w:val="001778A1"/>
    <w:rsid w:val="00177B0E"/>
    <w:rsid w:val="00177B90"/>
    <w:rsid w:val="00177D00"/>
    <w:rsid w:val="00177EBE"/>
    <w:rsid w:val="0018023F"/>
    <w:rsid w:val="001802A8"/>
    <w:rsid w:val="001804FA"/>
    <w:rsid w:val="001808C1"/>
    <w:rsid w:val="001809BC"/>
    <w:rsid w:val="001812F0"/>
    <w:rsid w:val="001815AF"/>
    <w:rsid w:val="001815C9"/>
    <w:rsid w:val="00181A2F"/>
    <w:rsid w:val="00182219"/>
    <w:rsid w:val="00182333"/>
    <w:rsid w:val="00182F6D"/>
    <w:rsid w:val="00183377"/>
    <w:rsid w:val="00183734"/>
    <w:rsid w:val="00183C17"/>
    <w:rsid w:val="00183E6F"/>
    <w:rsid w:val="001841C7"/>
    <w:rsid w:val="00184238"/>
    <w:rsid w:val="00184B5E"/>
    <w:rsid w:val="0018526C"/>
    <w:rsid w:val="0018542E"/>
    <w:rsid w:val="001856D1"/>
    <w:rsid w:val="00185BDD"/>
    <w:rsid w:val="0018619C"/>
    <w:rsid w:val="00186362"/>
    <w:rsid w:val="00186570"/>
    <w:rsid w:val="0018659D"/>
    <w:rsid w:val="00186BB9"/>
    <w:rsid w:val="00186E88"/>
    <w:rsid w:val="00187074"/>
    <w:rsid w:val="0018734B"/>
    <w:rsid w:val="00191364"/>
    <w:rsid w:val="0019157A"/>
    <w:rsid w:val="00192E69"/>
    <w:rsid w:val="00193008"/>
    <w:rsid w:val="0019334F"/>
    <w:rsid w:val="001939CA"/>
    <w:rsid w:val="00193EDF"/>
    <w:rsid w:val="001947C0"/>
    <w:rsid w:val="00194C46"/>
    <w:rsid w:val="00195A67"/>
    <w:rsid w:val="00196157"/>
    <w:rsid w:val="00196A7F"/>
    <w:rsid w:val="0019705D"/>
    <w:rsid w:val="001973B9"/>
    <w:rsid w:val="001974EA"/>
    <w:rsid w:val="00197789"/>
    <w:rsid w:val="0019797F"/>
    <w:rsid w:val="001A04EF"/>
    <w:rsid w:val="001A0A2A"/>
    <w:rsid w:val="001A1062"/>
    <w:rsid w:val="001A2792"/>
    <w:rsid w:val="001A4FA4"/>
    <w:rsid w:val="001A51B7"/>
    <w:rsid w:val="001A536C"/>
    <w:rsid w:val="001A56C1"/>
    <w:rsid w:val="001A5D47"/>
    <w:rsid w:val="001A5DE7"/>
    <w:rsid w:val="001A77B9"/>
    <w:rsid w:val="001B03E3"/>
    <w:rsid w:val="001B0B4E"/>
    <w:rsid w:val="001B0D50"/>
    <w:rsid w:val="001B1013"/>
    <w:rsid w:val="001B11E0"/>
    <w:rsid w:val="001B138A"/>
    <w:rsid w:val="001B142C"/>
    <w:rsid w:val="001B18E2"/>
    <w:rsid w:val="001B22F1"/>
    <w:rsid w:val="001B2552"/>
    <w:rsid w:val="001B26F2"/>
    <w:rsid w:val="001B2F37"/>
    <w:rsid w:val="001B3057"/>
    <w:rsid w:val="001B3201"/>
    <w:rsid w:val="001B32DE"/>
    <w:rsid w:val="001B3823"/>
    <w:rsid w:val="001B390F"/>
    <w:rsid w:val="001B3F21"/>
    <w:rsid w:val="001B4599"/>
    <w:rsid w:val="001B48D1"/>
    <w:rsid w:val="001B4BA4"/>
    <w:rsid w:val="001B5250"/>
    <w:rsid w:val="001B5E05"/>
    <w:rsid w:val="001B608D"/>
    <w:rsid w:val="001B709E"/>
    <w:rsid w:val="001B7163"/>
    <w:rsid w:val="001B7189"/>
    <w:rsid w:val="001B7567"/>
    <w:rsid w:val="001B7598"/>
    <w:rsid w:val="001B773E"/>
    <w:rsid w:val="001B7A58"/>
    <w:rsid w:val="001B7E5C"/>
    <w:rsid w:val="001C05A2"/>
    <w:rsid w:val="001C0BC0"/>
    <w:rsid w:val="001C14E5"/>
    <w:rsid w:val="001C1E2E"/>
    <w:rsid w:val="001C2B12"/>
    <w:rsid w:val="001C2C60"/>
    <w:rsid w:val="001C3272"/>
    <w:rsid w:val="001C32BE"/>
    <w:rsid w:val="001C34B7"/>
    <w:rsid w:val="001C396E"/>
    <w:rsid w:val="001C399E"/>
    <w:rsid w:val="001C39C2"/>
    <w:rsid w:val="001C3DA1"/>
    <w:rsid w:val="001C4908"/>
    <w:rsid w:val="001C493E"/>
    <w:rsid w:val="001C5370"/>
    <w:rsid w:val="001C63A5"/>
    <w:rsid w:val="001C717D"/>
    <w:rsid w:val="001C723F"/>
    <w:rsid w:val="001C73E0"/>
    <w:rsid w:val="001C75DE"/>
    <w:rsid w:val="001C7AA1"/>
    <w:rsid w:val="001C7FB4"/>
    <w:rsid w:val="001D08E1"/>
    <w:rsid w:val="001D093B"/>
    <w:rsid w:val="001D0D8B"/>
    <w:rsid w:val="001D1100"/>
    <w:rsid w:val="001D27D0"/>
    <w:rsid w:val="001D291C"/>
    <w:rsid w:val="001D2C6C"/>
    <w:rsid w:val="001D3425"/>
    <w:rsid w:val="001D3B46"/>
    <w:rsid w:val="001D3D71"/>
    <w:rsid w:val="001D41F3"/>
    <w:rsid w:val="001D466A"/>
    <w:rsid w:val="001D46B5"/>
    <w:rsid w:val="001D5372"/>
    <w:rsid w:val="001D556F"/>
    <w:rsid w:val="001D5953"/>
    <w:rsid w:val="001D5A8A"/>
    <w:rsid w:val="001D5B36"/>
    <w:rsid w:val="001D5C8E"/>
    <w:rsid w:val="001D6007"/>
    <w:rsid w:val="001D6381"/>
    <w:rsid w:val="001D6D71"/>
    <w:rsid w:val="001D71DE"/>
    <w:rsid w:val="001D721D"/>
    <w:rsid w:val="001D7356"/>
    <w:rsid w:val="001D7636"/>
    <w:rsid w:val="001D77D1"/>
    <w:rsid w:val="001E0196"/>
    <w:rsid w:val="001E0710"/>
    <w:rsid w:val="001E08DD"/>
    <w:rsid w:val="001E15AF"/>
    <w:rsid w:val="001E18E0"/>
    <w:rsid w:val="001E221F"/>
    <w:rsid w:val="001E2A3D"/>
    <w:rsid w:val="001E2ADD"/>
    <w:rsid w:val="001E31B5"/>
    <w:rsid w:val="001E5B9A"/>
    <w:rsid w:val="001E5DAD"/>
    <w:rsid w:val="001E6994"/>
    <w:rsid w:val="001E6D13"/>
    <w:rsid w:val="001E71F1"/>
    <w:rsid w:val="001E7BA5"/>
    <w:rsid w:val="001E7D10"/>
    <w:rsid w:val="001E7DC9"/>
    <w:rsid w:val="001F02B5"/>
    <w:rsid w:val="001F04C5"/>
    <w:rsid w:val="001F11AA"/>
    <w:rsid w:val="001F1471"/>
    <w:rsid w:val="001F1495"/>
    <w:rsid w:val="001F174F"/>
    <w:rsid w:val="001F1750"/>
    <w:rsid w:val="001F197A"/>
    <w:rsid w:val="001F1AF4"/>
    <w:rsid w:val="001F1FF4"/>
    <w:rsid w:val="001F1FFD"/>
    <w:rsid w:val="001F2149"/>
    <w:rsid w:val="001F3288"/>
    <w:rsid w:val="001F349F"/>
    <w:rsid w:val="001F3787"/>
    <w:rsid w:val="001F39E3"/>
    <w:rsid w:val="001F3DE8"/>
    <w:rsid w:val="001F3ED5"/>
    <w:rsid w:val="001F4186"/>
    <w:rsid w:val="001F46E9"/>
    <w:rsid w:val="001F4A81"/>
    <w:rsid w:val="001F4B9A"/>
    <w:rsid w:val="001F501A"/>
    <w:rsid w:val="001F528D"/>
    <w:rsid w:val="001F55B3"/>
    <w:rsid w:val="001F5668"/>
    <w:rsid w:val="001F5DF2"/>
    <w:rsid w:val="001F6424"/>
    <w:rsid w:val="001F6E4F"/>
    <w:rsid w:val="001F6E58"/>
    <w:rsid w:val="001F70A6"/>
    <w:rsid w:val="001F77A9"/>
    <w:rsid w:val="00200071"/>
    <w:rsid w:val="0020046C"/>
    <w:rsid w:val="00200B1D"/>
    <w:rsid w:val="00200B68"/>
    <w:rsid w:val="00201A6F"/>
    <w:rsid w:val="00201F9B"/>
    <w:rsid w:val="00202E09"/>
    <w:rsid w:val="002033C0"/>
    <w:rsid w:val="0020352F"/>
    <w:rsid w:val="00203625"/>
    <w:rsid w:val="00203D64"/>
    <w:rsid w:val="0020445D"/>
    <w:rsid w:val="0020481E"/>
    <w:rsid w:val="00204F38"/>
    <w:rsid w:val="0020567E"/>
    <w:rsid w:val="002056D1"/>
    <w:rsid w:val="00205DC3"/>
    <w:rsid w:val="00206226"/>
    <w:rsid w:val="00206E64"/>
    <w:rsid w:val="002072E8"/>
    <w:rsid w:val="00207952"/>
    <w:rsid w:val="00207A8B"/>
    <w:rsid w:val="00207DCA"/>
    <w:rsid w:val="00210314"/>
    <w:rsid w:val="00210D5E"/>
    <w:rsid w:val="002112D2"/>
    <w:rsid w:val="0021183B"/>
    <w:rsid w:val="00212043"/>
    <w:rsid w:val="00212071"/>
    <w:rsid w:val="002120C3"/>
    <w:rsid w:val="002121A2"/>
    <w:rsid w:val="002123C2"/>
    <w:rsid w:val="0021274E"/>
    <w:rsid w:val="00212AB3"/>
    <w:rsid w:val="002130BF"/>
    <w:rsid w:val="00213856"/>
    <w:rsid w:val="00214834"/>
    <w:rsid w:val="00215215"/>
    <w:rsid w:val="00215588"/>
    <w:rsid w:val="002162FA"/>
    <w:rsid w:val="00216323"/>
    <w:rsid w:val="00216770"/>
    <w:rsid w:val="002177D2"/>
    <w:rsid w:val="00217F66"/>
    <w:rsid w:val="0022079D"/>
    <w:rsid w:val="002209B4"/>
    <w:rsid w:val="0022261A"/>
    <w:rsid w:val="002238CC"/>
    <w:rsid w:val="00223A56"/>
    <w:rsid w:val="0022407C"/>
    <w:rsid w:val="002248F4"/>
    <w:rsid w:val="002254CD"/>
    <w:rsid w:val="00225944"/>
    <w:rsid w:val="00225B2D"/>
    <w:rsid w:val="00226653"/>
    <w:rsid w:val="00226F02"/>
    <w:rsid w:val="00227057"/>
    <w:rsid w:val="00227411"/>
    <w:rsid w:val="002279F0"/>
    <w:rsid w:val="0023061F"/>
    <w:rsid w:val="00230C36"/>
    <w:rsid w:val="0023132F"/>
    <w:rsid w:val="00231B3B"/>
    <w:rsid w:val="00232A77"/>
    <w:rsid w:val="00233BF4"/>
    <w:rsid w:val="00233CA7"/>
    <w:rsid w:val="00233CAF"/>
    <w:rsid w:val="00233D8C"/>
    <w:rsid w:val="00233E81"/>
    <w:rsid w:val="00233FA9"/>
    <w:rsid w:val="002342E9"/>
    <w:rsid w:val="00235867"/>
    <w:rsid w:val="0023595C"/>
    <w:rsid w:val="00235CE4"/>
    <w:rsid w:val="00235D45"/>
    <w:rsid w:val="00236471"/>
    <w:rsid w:val="0023741C"/>
    <w:rsid w:val="00237476"/>
    <w:rsid w:val="002379F1"/>
    <w:rsid w:val="00237D81"/>
    <w:rsid w:val="00237E59"/>
    <w:rsid w:val="00241DB3"/>
    <w:rsid w:val="002420C2"/>
    <w:rsid w:val="00242901"/>
    <w:rsid w:val="00242D3D"/>
    <w:rsid w:val="00243097"/>
    <w:rsid w:val="002433CF"/>
    <w:rsid w:val="002435EA"/>
    <w:rsid w:val="0024435C"/>
    <w:rsid w:val="0024456C"/>
    <w:rsid w:val="0024574F"/>
    <w:rsid w:val="00245D2C"/>
    <w:rsid w:val="002465CF"/>
    <w:rsid w:val="00246617"/>
    <w:rsid w:val="0024683D"/>
    <w:rsid w:val="00246AF9"/>
    <w:rsid w:val="00246CD6"/>
    <w:rsid w:val="00246F86"/>
    <w:rsid w:val="0024711E"/>
    <w:rsid w:val="0024760B"/>
    <w:rsid w:val="002478BB"/>
    <w:rsid w:val="00247C64"/>
    <w:rsid w:val="002502C2"/>
    <w:rsid w:val="00250590"/>
    <w:rsid w:val="00250829"/>
    <w:rsid w:val="00250AE3"/>
    <w:rsid w:val="00251A76"/>
    <w:rsid w:val="00251E4F"/>
    <w:rsid w:val="00252484"/>
    <w:rsid w:val="002528D6"/>
    <w:rsid w:val="002531DA"/>
    <w:rsid w:val="0025355D"/>
    <w:rsid w:val="00253B54"/>
    <w:rsid w:val="00254CAA"/>
    <w:rsid w:val="002555E9"/>
    <w:rsid w:val="0025599E"/>
    <w:rsid w:val="00255C22"/>
    <w:rsid w:val="00255E03"/>
    <w:rsid w:val="00256039"/>
    <w:rsid w:val="0025626D"/>
    <w:rsid w:val="002565D2"/>
    <w:rsid w:val="0025692E"/>
    <w:rsid w:val="00256C4B"/>
    <w:rsid w:val="0025776F"/>
    <w:rsid w:val="00257A8F"/>
    <w:rsid w:val="002601C8"/>
    <w:rsid w:val="00260789"/>
    <w:rsid w:val="002613F5"/>
    <w:rsid w:val="00261580"/>
    <w:rsid w:val="00261895"/>
    <w:rsid w:val="00261F4C"/>
    <w:rsid w:val="00262720"/>
    <w:rsid w:val="002627F4"/>
    <w:rsid w:val="00262952"/>
    <w:rsid w:val="00262C51"/>
    <w:rsid w:val="002630D7"/>
    <w:rsid w:val="00263128"/>
    <w:rsid w:val="00263A8A"/>
    <w:rsid w:val="00263E69"/>
    <w:rsid w:val="002644E0"/>
    <w:rsid w:val="00264508"/>
    <w:rsid w:val="00264A20"/>
    <w:rsid w:val="00265A4B"/>
    <w:rsid w:val="00265CCC"/>
    <w:rsid w:val="002664D2"/>
    <w:rsid w:val="0026653D"/>
    <w:rsid w:val="0026673B"/>
    <w:rsid w:val="00266970"/>
    <w:rsid w:val="00266F9D"/>
    <w:rsid w:val="002672E7"/>
    <w:rsid w:val="00267AE5"/>
    <w:rsid w:val="00267B01"/>
    <w:rsid w:val="00267F45"/>
    <w:rsid w:val="0027010F"/>
    <w:rsid w:val="002701B7"/>
    <w:rsid w:val="00270299"/>
    <w:rsid w:val="002703D6"/>
    <w:rsid w:val="0027089C"/>
    <w:rsid w:val="002709EF"/>
    <w:rsid w:val="00270ED3"/>
    <w:rsid w:val="00270F89"/>
    <w:rsid w:val="00271143"/>
    <w:rsid w:val="00271A5C"/>
    <w:rsid w:val="00271BDD"/>
    <w:rsid w:val="00271CB2"/>
    <w:rsid w:val="00271E3E"/>
    <w:rsid w:val="0027239C"/>
    <w:rsid w:val="00272898"/>
    <w:rsid w:val="00272934"/>
    <w:rsid w:val="00272977"/>
    <w:rsid w:val="00272CC6"/>
    <w:rsid w:val="00272DA5"/>
    <w:rsid w:val="0027330F"/>
    <w:rsid w:val="00273E68"/>
    <w:rsid w:val="00274859"/>
    <w:rsid w:val="00274C9C"/>
    <w:rsid w:val="00274F76"/>
    <w:rsid w:val="0027665D"/>
    <w:rsid w:val="00276A76"/>
    <w:rsid w:val="00276E7E"/>
    <w:rsid w:val="002774B9"/>
    <w:rsid w:val="00277AAD"/>
    <w:rsid w:val="002807C7"/>
    <w:rsid w:val="00280AC7"/>
    <w:rsid w:val="002811CA"/>
    <w:rsid w:val="002822F0"/>
    <w:rsid w:val="002824C5"/>
    <w:rsid w:val="002824CC"/>
    <w:rsid w:val="002827DA"/>
    <w:rsid w:val="002832EC"/>
    <w:rsid w:val="00283376"/>
    <w:rsid w:val="00283D3E"/>
    <w:rsid w:val="00283D5D"/>
    <w:rsid w:val="002843E7"/>
    <w:rsid w:val="00284562"/>
    <w:rsid w:val="00284752"/>
    <w:rsid w:val="00285231"/>
    <w:rsid w:val="00285F3C"/>
    <w:rsid w:val="00286C4D"/>
    <w:rsid w:val="002872B4"/>
    <w:rsid w:val="00287FCE"/>
    <w:rsid w:val="00290005"/>
    <w:rsid w:val="00290331"/>
    <w:rsid w:val="00290D3A"/>
    <w:rsid w:val="0029108E"/>
    <w:rsid w:val="00291A37"/>
    <w:rsid w:val="0029210D"/>
    <w:rsid w:val="00292534"/>
    <w:rsid w:val="00292779"/>
    <w:rsid w:val="00292F48"/>
    <w:rsid w:val="002937A4"/>
    <w:rsid w:val="002938FA"/>
    <w:rsid w:val="00293F33"/>
    <w:rsid w:val="00294565"/>
    <w:rsid w:val="00294CDF"/>
    <w:rsid w:val="00295486"/>
    <w:rsid w:val="00295559"/>
    <w:rsid w:val="00295B8D"/>
    <w:rsid w:val="002960EB"/>
    <w:rsid w:val="00296293"/>
    <w:rsid w:val="0029660F"/>
    <w:rsid w:val="00296826"/>
    <w:rsid w:val="0029685A"/>
    <w:rsid w:val="00296AF1"/>
    <w:rsid w:val="00296C72"/>
    <w:rsid w:val="002972A1"/>
    <w:rsid w:val="002A02D5"/>
    <w:rsid w:val="002A0615"/>
    <w:rsid w:val="002A0BBF"/>
    <w:rsid w:val="002A2737"/>
    <w:rsid w:val="002A291F"/>
    <w:rsid w:val="002A2B57"/>
    <w:rsid w:val="002A3C0A"/>
    <w:rsid w:val="002A3D5D"/>
    <w:rsid w:val="002A40A3"/>
    <w:rsid w:val="002A46EF"/>
    <w:rsid w:val="002A4F79"/>
    <w:rsid w:val="002A4FE7"/>
    <w:rsid w:val="002A50A2"/>
    <w:rsid w:val="002A53CC"/>
    <w:rsid w:val="002A53EF"/>
    <w:rsid w:val="002A54C7"/>
    <w:rsid w:val="002A5C8D"/>
    <w:rsid w:val="002A5D44"/>
    <w:rsid w:val="002A6669"/>
    <w:rsid w:val="002A6F54"/>
    <w:rsid w:val="002A78E6"/>
    <w:rsid w:val="002A78EA"/>
    <w:rsid w:val="002A7AD7"/>
    <w:rsid w:val="002A7D7B"/>
    <w:rsid w:val="002A7E75"/>
    <w:rsid w:val="002B0169"/>
    <w:rsid w:val="002B0962"/>
    <w:rsid w:val="002B1506"/>
    <w:rsid w:val="002B1622"/>
    <w:rsid w:val="002B1BE8"/>
    <w:rsid w:val="002B1FF2"/>
    <w:rsid w:val="002B29A3"/>
    <w:rsid w:val="002B3046"/>
    <w:rsid w:val="002B3251"/>
    <w:rsid w:val="002B347E"/>
    <w:rsid w:val="002B3AB8"/>
    <w:rsid w:val="002B3E69"/>
    <w:rsid w:val="002B3FB9"/>
    <w:rsid w:val="002B42F7"/>
    <w:rsid w:val="002B457B"/>
    <w:rsid w:val="002B4859"/>
    <w:rsid w:val="002B4DD4"/>
    <w:rsid w:val="002B4E52"/>
    <w:rsid w:val="002B527E"/>
    <w:rsid w:val="002B5298"/>
    <w:rsid w:val="002B54AC"/>
    <w:rsid w:val="002B5858"/>
    <w:rsid w:val="002B5F14"/>
    <w:rsid w:val="002B6002"/>
    <w:rsid w:val="002B60E2"/>
    <w:rsid w:val="002B619A"/>
    <w:rsid w:val="002B687D"/>
    <w:rsid w:val="002B6C7F"/>
    <w:rsid w:val="002B6D88"/>
    <w:rsid w:val="002B73E6"/>
    <w:rsid w:val="002B7773"/>
    <w:rsid w:val="002B77F2"/>
    <w:rsid w:val="002B7A30"/>
    <w:rsid w:val="002B7F00"/>
    <w:rsid w:val="002B7F14"/>
    <w:rsid w:val="002B7FF4"/>
    <w:rsid w:val="002C0662"/>
    <w:rsid w:val="002C06DB"/>
    <w:rsid w:val="002C0EC1"/>
    <w:rsid w:val="002C0F8E"/>
    <w:rsid w:val="002C1518"/>
    <w:rsid w:val="002C19FB"/>
    <w:rsid w:val="002C1A5A"/>
    <w:rsid w:val="002C1BB7"/>
    <w:rsid w:val="002C1FFD"/>
    <w:rsid w:val="002C248D"/>
    <w:rsid w:val="002C3086"/>
    <w:rsid w:val="002C42FE"/>
    <w:rsid w:val="002C487E"/>
    <w:rsid w:val="002C4A98"/>
    <w:rsid w:val="002C53C3"/>
    <w:rsid w:val="002C598B"/>
    <w:rsid w:val="002C5EEF"/>
    <w:rsid w:val="002C735C"/>
    <w:rsid w:val="002C7CC1"/>
    <w:rsid w:val="002D00B6"/>
    <w:rsid w:val="002D026B"/>
    <w:rsid w:val="002D02D3"/>
    <w:rsid w:val="002D069E"/>
    <w:rsid w:val="002D0A74"/>
    <w:rsid w:val="002D1DD7"/>
    <w:rsid w:val="002D1F3C"/>
    <w:rsid w:val="002D205C"/>
    <w:rsid w:val="002D36D7"/>
    <w:rsid w:val="002D3783"/>
    <w:rsid w:val="002D406B"/>
    <w:rsid w:val="002D476E"/>
    <w:rsid w:val="002D4F0E"/>
    <w:rsid w:val="002D54F7"/>
    <w:rsid w:val="002D5569"/>
    <w:rsid w:val="002D5922"/>
    <w:rsid w:val="002D68C1"/>
    <w:rsid w:val="002D69A4"/>
    <w:rsid w:val="002D6C17"/>
    <w:rsid w:val="002D6D6E"/>
    <w:rsid w:val="002D75DE"/>
    <w:rsid w:val="002D7D51"/>
    <w:rsid w:val="002E016B"/>
    <w:rsid w:val="002E054F"/>
    <w:rsid w:val="002E0B6B"/>
    <w:rsid w:val="002E0BBF"/>
    <w:rsid w:val="002E12AF"/>
    <w:rsid w:val="002E132D"/>
    <w:rsid w:val="002E1D89"/>
    <w:rsid w:val="002E1FFF"/>
    <w:rsid w:val="002E25E7"/>
    <w:rsid w:val="002E2D3F"/>
    <w:rsid w:val="002E314F"/>
    <w:rsid w:val="002E3B76"/>
    <w:rsid w:val="002E3F5A"/>
    <w:rsid w:val="002E40BF"/>
    <w:rsid w:val="002E436B"/>
    <w:rsid w:val="002E4638"/>
    <w:rsid w:val="002E4841"/>
    <w:rsid w:val="002E4A44"/>
    <w:rsid w:val="002E6078"/>
    <w:rsid w:val="002E624F"/>
    <w:rsid w:val="002E628D"/>
    <w:rsid w:val="002E6326"/>
    <w:rsid w:val="002E67C3"/>
    <w:rsid w:val="002E7222"/>
    <w:rsid w:val="002E73F6"/>
    <w:rsid w:val="002E76E7"/>
    <w:rsid w:val="002E785C"/>
    <w:rsid w:val="002F0068"/>
    <w:rsid w:val="002F07D9"/>
    <w:rsid w:val="002F17F5"/>
    <w:rsid w:val="002F1CA6"/>
    <w:rsid w:val="002F1FAE"/>
    <w:rsid w:val="002F21D0"/>
    <w:rsid w:val="002F24C5"/>
    <w:rsid w:val="002F25D4"/>
    <w:rsid w:val="002F28AD"/>
    <w:rsid w:val="002F2A8F"/>
    <w:rsid w:val="002F2C2A"/>
    <w:rsid w:val="002F301D"/>
    <w:rsid w:val="002F3196"/>
    <w:rsid w:val="002F339F"/>
    <w:rsid w:val="002F344A"/>
    <w:rsid w:val="002F3F41"/>
    <w:rsid w:val="002F42A8"/>
    <w:rsid w:val="002F5029"/>
    <w:rsid w:val="002F570C"/>
    <w:rsid w:val="002F588D"/>
    <w:rsid w:val="002F6554"/>
    <w:rsid w:val="002F7AE1"/>
    <w:rsid w:val="0030004B"/>
    <w:rsid w:val="00300565"/>
    <w:rsid w:val="00301221"/>
    <w:rsid w:val="003019B1"/>
    <w:rsid w:val="00302376"/>
    <w:rsid w:val="003023DD"/>
    <w:rsid w:val="00302493"/>
    <w:rsid w:val="003027AA"/>
    <w:rsid w:val="00302A46"/>
    <w:rsid w:val="0030370A"/>
    <w:rsid w:val="00303713"/>
    <w:rsid w:val="00304306"/>
    <w:rsid w:val="0030497C"/>
    <w:rsid w:val="00304A13"/>
    <w:rsid w:val="00304C7A"/>
    <w:rsid w:val="00304D25"/>
    <w:rsid w:val="00305792"/>
    <w:rsid w:val="00305AD4"/>
    <w:rsid w:val="0030631C"/>
    <w:rsid w:val="003064D3"/>
    <w:rsid w:val="00306AE2"/>
    <w:rsid w:val="00307A95"/>
    <w:rsid w:val="00307AEB"/>
    <w:rsid w:val="00307FEE"/>
    <w:rsid w:val="00311818"/>
    <w:rsid w:val="00312853"/>
    <w:rsid w:val="00313070"/>
    <w:rsid w:val="0031398B"/>
    <w:rsid w:val="00313F25"/>
    <w:rsid w:val="00313FFC"/>
    <w:rsid w:val="003145A8"/>
    <w:rsid w:val="00314941"/>
    <w:rsid w:val="00314B29"/>
    <w:rsid w:val="0031522A"/>
    <w:rsid w:val="00315692"/>
    <w:rsid w:val="00315BCB"/>
    <w:rsid w:val="00315D24"/>
    <w:rsid w:val="00315DD1"/>
    <w:rsid w:val="00317957"/>
    <w:rsid w:val="00317D6B"/>
    <w:rsid w:val="00320F44"/>
    <w:rsid w:val="00321203"/>
    <w:rsid w:val="00321615"/>
    <w:rsid w:val="0032281D"/>
    <w:rsid w:val="003228E2"/>
    <w:rsid w:val="00322A77"/>
    <w:rsid w:val="00323542"/>
    <w:rsid w:val="00323719"/>
    <w:rsid w:val="003237FE"/>
    <w:rsid w:val="00323E66"/>
    <w:rsid w:val="00323F0D"/>
    <w:rsid w:val="0032417B"/>
    <w:rsid w:val="00324661"/>
    <w:rsid w:val="00324A9B"/>
    <w:rsid w:val="003258EA"/>
    <w:rsid w:val="00326467"/>
    <w:rsid w:val="0032712C"/>
    <w:rsid w:val="0032730B"/>
    <w:rsid w:val="003279E1"/>
    <w:rsid w:val="003279EB"/>
    <w:rsid w:val="00330333"/>
    <w:rsid w:val="003307BC"/>
    <w:rsid w:val="00330C89"/>
    <w:rsid w:val="003312E3"/>
    <w:rsid w:val="00332052"/>
    <w:rsid w:val="003321B2"/>
    <w:rsid w:val="0033230D"/>
    <w:rsid w:val="00332668"/>
    <w:rsid w:val="00332A66"/>
    <w:rsid w:val="00333570"/>
    <w:rsid w:val="003344F3"/>
    <w:rsid w:val="003345FA"/>
    <w:rsid w:val="003358A8"/>
    <w:rsid w:val="00335E2E"/>
    <w:rsid w:val="0033696E"/>
    <w:rsid w:val="00336A2C"/>
    <w:rsid w:val="0033700B"/>
    <w:rsid w:val="0033716D"/>
    <w:rsid w:val="00337F24"/>
    <w:rsid w:val="00337FCD"/>
    <w:rsid w:val="00340B88"/>
    <w:rsid w:val="00341BFD"/>
    <w:rsid w:val="00341E7B"/>
    <w:rsid w:val="00342799"/>
    <w:rsid w:val="00342C67"/>
    <w:rsid w:val="00342CD4"/>
    <w:rsid w:val="00342F24"/>
    <w:rsid w:val="003431AA"/>
    <w:rsid w:val="00343726"/>
    <w:rsid w:val="003438E3"/>
    <w:rsid w:val="00343979"/>
    <w:rsid w:val="003446B6"/>
    <w:rsid w:val="003450EF"/>
    <w:rsid w:val="003451FF"/>
    <w:rsid w:val="00346A21"/>
    <w:rsid w:val="00346C2B"/>
    <w:rsid w:val="00347900"/>
    <w:rsid w:val="00350541"/>
    <w:rsid w:val="00350675"/>
    <w:rsid w:val="0035105A"/>
    <w:rsid w:val="003510BF"/>
    <w:rsid w:val="003511E5"/>
    <w:rsid w:val="00351267"/>
    <w:rsid w:val="00351441"/>
    <w:rsid w:val="0035159D"/>
    <w:rsid w:val="0035182A"/>
    <w:rsid w:val="00352D38"/>
    <w:rsid w:val="00352FD9"/>
    <w:rsid w:val="00353CE2"/>
    <w:rsid w:val="00354231"/>
    <w:rsid w:val="00354414"/>
    <w:rsid w:val="0035556D"/>
    <w:rsid w:val="00355B30"/>
    <w:rsid w:val="00355D33"/>
    <w:rsid w:val="00355DB6"/>
    <w:rsid w:val="00356101"/>
    <w:rsid w:val="00356131"/>
    <w:rsid w:val="00357357"/>
    <w:rsid w:val="00357AD3"/>
    <w:rsid w:val="00357B5B"/>
    <w:rsid w:val="00357BE4"/>
    <w:rsid w:val="00357C1C"/>
    <w:rsid w:val="00360146"/>
    <w:rsid w:val="003609E5"/>
    <w:rsid w:val="00360ABB"/>
    <w:rsid w:val="00360C32"/>
    <w:rsid w:val="00361FAE"/>
    <w:rsid w:val="0036218B"/>
    <w:rsid w:val="003622D4"/>
    <w:rsid w:val="003628ED"/>
    <w:rsid w:val="00362A3B"/>
    <w:rsid w:val="00363774"/>
    <w:rsid w:val="00363E14"/>
    <w:rsid w:val="0036476E"/>
    <w:rsid w:val="00364966"/>
    <w:rsid w:val="00364D32"/>
    <w:rsid w:val="00364EB2"/>
    <w:rsid w:val="00365413"/>
    <w:rsid w:val="00365666"/>
    <w:rsid w:val="00365BAF"/>
    <w:rsid w:val="00365EAE"/>
    <w:rsid w:val="00365ED0"/>
    <w:rsid w:val="00365FA3"/>
    <w:rsid w:val="00366B0A"/>
    <w:rsid w:val="00366C27"/>
    <w:rsid w:val="00366D05"/>
    <w:rsid w:val="00367859"/>
    <w:rsid w:val="00370534"/>
    <w:rsid w:val="003706BC"/>
    <w:rsid w:val="00370D86"/>
    <w:rsid w:val="00371C3D"/>
    <w:rsid w:val="00371DB0"/>
    <w:rsid w:val="00372031"/>
    <w:rsid w:val="0037207E"/>
    <w:rsid w:val="00372092"/>
    <w:rsid w:val="00372C70"/>
    <w:rsid w:val="00372FB7"/>
    <w:rsid w:val="00373332"/>
    <w:rsid w:val="00373DAE"/>
    <w:rsid w:val="003740B3"/>
    <w:rsid w:val="00374E6C"/>
    <w:rsid w:val="00375308"/>
    <w:rsid w:val="00375350"/>
    <w:rsid w:val="003754A7"/>
    <w:rsid w:val="003754D3"/>
    <w:rsid w:val="0037589E"/>
    <w:rsid w:val="00376315"/>
    <w:rsid w:val="00376700"/>
    <w:rsid w:val="003772A5"/>
    <w:rsid w:val="00377869"/>
    <w:rsid w:val="00377E8E"/>
    <w:rsid w:val="00380294"/>
    <w:rsid w:val="003802C9"/>
    <w:rsid w:val="00380845"/>
    <w:rsid w:val="0038088A"/>
    <w:rsid w:val="00380AE4"/>
    <w:rsid w:val="00380F7C"/>
    <w:rsid w:val="003813BE"/>
    <w:rsid w:val="00381DFC"/>
    <w:rsid w:val="00384993"/>
    <w:rsid w:val="00384B14"/>
    <w:rsid w:val="00385228"/>
    <w:rsid w:val="0038569B"/>
    <w:rsid w:val="00386019"/>
    <w:rsid w:val="0038660F"/>
    <w:rsid w:val="00386E97"/>
    <w:rsid w:val="003871E4"/>
    <w:rsid w:val="003871ED"/>
    <w:rsid w:val="003879B9"/>
    <w:rsid w:val="00387BC1"/>
    <w:rsid w:val="00387CB2"/>
    <w:rsid w:val="00387E77"/>
    <w:rsid w:val="00390073"/>
    <w:rsid w:val="003903C9"/>
    <w:rsid w:val="0039071A"/>
    <w:rsid w:val="00390801"/>
    <w:rsid w:val="00390DAB"/>
    <w:rsid w:val="00390FA2"/>
    <w:rsid w:val="00391185"/>
    <w:rsid w:val="00391476"/>
    <w:rsid w:val="00391F25"/>
    <w:rsid w:val="003927F1"/>
    <w:rsid w:val="00392A73"/>
    <w:rsid w:val="00392B4B"/>
    <w:rsid w:val="00392C2B"/>
    <w:rsid w:val="0039332B"/>
    <w:rsid w:val="00393654"/>
    <w:rsid w:val="00393C6A"/>
    <w:rsid w:val="00393C8B"/>
    <w:rsid w:val="00393CAB"/>
    <w:rsid w:val="0039417B"/>
    <w:rsid w:val="00394228"/>
    <w:rsid w:val="00394593"/>
    <w:rsid w:val="0039464C"/>
    <w:rsid w:val="003951F3"/>
    <w:rsid w:val="003952AE"/>
    <w:rsid w:val="003965AE"/>
    <w:rsid w:val="00396C5B"/>
    <w:rsid w:val="0039707E"/>
    <w:rsid w:val="0039736C"/>
    <w:rsid w:val="003A02D1"/>
    <w:rsid w:val="003A02DC"/>
    <w:rsid w:val="003A045C"/>
    <w:rsid w:val="003A062D"/>
    <w:rsid w:val="003A0F44"/>
    <w:rsid w:val="003A16B3"/>
    <w:rsid w:val="003A178D"/>
    <w:rsid w:val="003A17C5"/>
    <w:rsid w:val="003A1862"/>
    <w:rsid w:val="003A214C"/>
    <w:rsid w:val="003A2234"/>
    <w:rsid w:val="003A23FE"/>
    <w:rsid w:val="003A29EC"/>
    <w:rsid w:val="003A2CD8"/>
    <w:rsid w:val="003A2E71"/>
    <w:rsid w:val="003A2F39"/>
    <w:rsid w:val="003A309E"/>
    <w:rsid w:val="003A3388"/>
    <w:rsid w:val="003A3A84"/>
    <w:rsid w:val="003A3D60"/>
    <w:rsid w:val="003A3F9F"/>
    <w:rsid w:val="003A431E"/>
    <w:rsid w:val="003A532C"/>
    <w:rsid w:val="003A65CC"/>
    <w:rsid w:val="003A6C8F"/>
    <w:rsid w:val="003B0236"/>
    <w:rsid w:val="003B0929"/>
    <w:rsid w:val="003B0967"/>
    <w:rsid w:val="003B0B6D"/>
    <w:rsid w:val="003B14B6"/>
    <w:rsid w:val="003B1F70"/>
    <w:rsid w:val="003B1FC8"/>
    <w:rsid w:val="003B222B"/>
    <w:rsid w:val="003B2352"/>
    <w:rsid w:val="003B2C97"/>
    <w:rsid w:val="003B357C"/>
    <w:rsid w:val="003B3A4F"/>
    <w:rsid w:val="003B4308"/>
    <w:rsid w:val="003B469C"/>
    <w:rsid w:val="003B4A8B"/>
    <w:rsid w:val="003B4CA2"/>
    <w:rsid w:val="003B4CC3"/>
    <w:rsid w:val="003B541C"/>
    <w:rsid w:val="003B5DDF"/>
    <w:rsid w:val="003B6111"/>
    <w:rsid w:val="003B645E"/>
    <w:rsid w:val="003B6FEA"/>
    <w:rsid w:val="003B7473"/>
    <w:rsid w:val="003B7575"/>
    <w:rsid w:val="003B7ACE"/>
    <w:rsid w:val="003B7EC2"/>
    <w:rsid w:val="003B7F73"/>
    <w:rsid w:val="003C0656"/>
    <w:rsid w:val="003C066E"/>
    <w:rsid w:val="003C08BF"/>
    <w:rsid w:val="003C1DB3"/>
    <w:rsid w:val="003C1DE1"/>
    <w:rsid w:val="003C2299"/>
    <w:rsid w:val="003C2F4F"/>
    <w:rsid w:val="003C3C15"/>
    <w:rsid w:val="003C3E54"/>
    <w:rsid w:val="003C4563"/>
    <w:rsid w:val="003C46C7"/>
    <w:rsid w:val="003C48CF"/>
    <w:rsid w:val="003C48E4"/>
    <w:rsid w:val="003C499F"/>
    <w:rsid w:val="003C51B1"/>
    <w:rsid w:val="003C633B"/>
    <w:rsid w:val="003C6AC2"/>
    <w:rsid w:val="003C731A"/>
    <w:rsid w:val="003C7356"/>
    <w:rsid w:val="003C79A4"/>
    <w:rsid w:val="003C7CFC"/>
    <w:rsid w:val="003D00BB"/>
    <w:rsid w:val="003D033D"/>
    <w:rsid w:val="003D1551"/>
    <w:rsid w:val="003D164B"/>
    <w:rsid w:val="003D1D78"/>
    <w:rsid w:val="003D1E98"/>
    <w:rsid w:val="003D279D"/>
    <w:rsid w:val="003D32A5"/>
    <w:rsid w:val="003D3307"/>
    <w:rsid w:val="003D3A70"/>
    <w:rsid w:val="003D3AF3"/>
    <w:rsid w:val="003D41A0"/>
    <w:rsid w:val="003D4C10"/>
    <w:rsid w:val="003D4C8E"/>
    <w:rsid w:val="003D4EAC"/>
    <w:rsid w:val="003D5169"/>
    <w:rsid w:val="003D53C6"/>
    <w:rsid w:val="003D5A01"/>
    <w:rsid w:val="003D609B"/>
    <w:rsid w:val="003D63A8"/>
    <w:rsid w:val="003D6567"/>
    <w:rsid w:val="003D71DC"/>
    <w:rsid w:val="003D723C"/>
    <w:rsid w:val="003D76DB"/>
    <w:rsid w:val="003D7912"/>
    <w:rsid w:val="003D7A1F"/>
    <w:rsid w:val="003E05E9"/>
    <w:rsid w:val="003E0D78"/>
    <w:rsid w:val="003E0E30"/>
    <w:rsid w:val="003E187F"/>
    <w:rsid w:val="003E1D15"/>
    <w:rsid w:val="003E1E60"/>
    <w:rsid w:val="003E1EA6"/>
    <w:rsid w:val="003E1F3D"/>
    <w:rsid w:val="003E292D"/>
    <w:rsid w:val="003E3010"/>
    <w:rsid w:val="003E424A"/>
    <w:rsid w:val="003E4299"/>
    <w:rsid w:val="003E4DA0"/>
    <w:rsid w:val="003E4DCE"/>
    <w:rsid w:val="003E5239"/>
    <w:rsid w:val="003E5244"/>
    <w:rsid w:val="003E5A8C"/>
    <w:rsid w:val="003E5AAC"/>
    <w:rsid w:val="003E5F74"/>
    <w:rsid w:val="003E640D"/>
    <w:rsid w:val="003E68E7"/>
    <w:rsid w:val="003E6B51"/>
    <w:rsid w:val="003E71C8"/>
    <w:rsid w:val="003E77A9"/>
    <w:rsid w:val="003E7B1B"/>
    <w:rsid w:val="003E7D49"/>
    <w:rsid w:val="003E7DD4"/>
    <w:rsid w:val="003F03E7"/>
    <w:rsid w:val="003F05E9"/>
    <w:rsid w:val="003F067E"/>
    <w:rsid w:val="003F223B"/>
    <w:rsid w:val="003F258E"/>
    <w:rsid w:val="003F2DEE"/>
    <w:rsid w:val="003F3121"/>
    <w:rsid w:val="003F3F2C"/>
    <w:rsid w:val="003F4092"/>
    <w:rsid w:val="003F40B4"/>
    <w:rsid w:val="003F4349"/>
    <w:rsid w:val="003F4469"/>
    <w:rsid w:val="003F476D"/>
    <w:rsid w:val="003F4B97"/>
    <w:rsid w:val="003F4F12"/>
    <w:rsid w:val="003F4F9F"/>
    <w:rsid w:val="003F5177"/>
    <w:rsid w:val="003F573E"/>
    <w:rsid w:val="003F6579"/>
    <w:rsid w:val="003F6618"/>
    <w:rsid w:val="003F6B84"/>
    <w:rsid w:val="003F7751"/>
    <w:rsid w:val="003F7C3A"/>
    <w:rsid w:val="003F7CF6"/>
    <w:rsid w:val="00400618"/>
    <w:rsid w:val="004010F7"/>
    <w:rsid w:val="00401396"/>
    <w:rsid w:val="00401F63"/>
    <w:rsid w:val="004027F3"/>
    <w:rsid w:val="004028F4"/>
    <w:rsid w:val="00402978"/>
    <w:rsid w:val="00402B25"/>
    <w:rsid w:val="00402D86"/>
    <w:rsid w:val="00403A50"/>
    <w:rsid w:val="004042DC"/>
    <w:rsid w:val="00404759"/>
    <w:rsid w:val="00404EB7"/>
    <w:rsid w:val="00404F56"/>
    <w:rsid w:val="00405749"/>
    <w:rsid w:val="00405EC1"/>
    <w:rsid w:val="00406473"/>
    <w:rsid w:val="004068F2"/>
    <w:rsid w:val="0040721F"/>
    <w:rsid w:val="00407509"/>
    <w:rsid w:val="00407972"/>
    <w:rsid w:val="00410756"/>
    <w:rsid w:val="00410944"/>
    <w:rsid w:val="00410A9F"/>
    <w:rsid w:val="0041104D"/>
    <w:rsid w:val="00411267"/>
    <w:rsid w:val="004113F2"/>
    <w:rsid w:val="004115CF"/>
    <w:rsid w:val="00411DC3"/>
    <w:rsid w:val="00411EB5"/>
    <w:rsid w:val="00412386"/>
    <w:rsid w:val="00412484"/>
    <w:rsid w:val="00412785"/>
    <w:rsid w:val="00412D1A"/>
    <w:rsid w:val="00412FC2"/>
    <w:rsid w:val="00413DBA"/>
    <w:rsid w:val="00414AE5"/>
    <w:rsid w:val="00414CD4"/>
    <w:rsid w:val="00414F1A"/>
    <w:rsid w:val="004155A1"/>
    <w:rsid w:val="004160F9"/>
    <w:rsid w:val="004167C2"/>
    <w:rsid w:val="00416FDA"/>
    <w:rsid w:val="0041705C"/>
    <w:rsid w:val="004173D3"/>
    <w:rsid w:val="004175F2"/>
    <w:rsid w:val="00417E19"/>
    <w:rsid w:val="00417EF6"/>
    <w:rsid w:val="0042034B"/>
    <w:rsid w:val="00420891"/>
    <w:rsid w:val="00420D5D"/>
    <w:rsid w:val="004217F1"/>
    <w:rsid w:val="00422070"/>
    <w:rsid w:val="0042228D"/>
    <w:rsid w:val="00422628"/>
    <w:rsid w:val="00423E4F"/>
    <w:rsid w:val="00424CDA"/>
    <w:rsid w:val="00424E76"/>
    <w:rsid w:val="00425481"/>
    <w:rsid w:val="004255E5"/>
    <w:rsid w:val="00425FC6"/>
    <w:rsid w:val="00427013"/>
    <w:rsid w:val="00427019"/>
    <w:rsid w:val="004272BD"/>
    <w:rsid w:val="00427332"/>
    <w:rsid w:val="0042796F"/>
    <w:rsid w:val="00427B8B"/>
    <w:rsid w:val="00427D97"/>
    <w:rsid w:val="00430294"/>
    <w:rsid w:val="00430584"/>
    <w:rsid w:val="004305F1"/>
    <w:rsid w:val="00430B8A"/>
    <w:rsid w:val="00430F2E"/>
    <w:rsid w:val="0043189E"/>
    <w:rsid w:val="004318FA"/>
    <w:rsid w:val="00431C63"/>
    <w:rsid w:val="00432194"/>
    <w:rsid w:val="00432541"/>
    <w:rsid w:val="0043279E"/>
    <w:rsid w:val="00432FE0"/>
    <w:rsid w:val="00433750"/>
    <w:rsid w:val="00433779"/>
    <w:rsid w:val="004338DF"/>
    <w:rsid w:val="004341DC"/>
    <w:rsid w:val="00434BE5"/>
    <w:rsid w:val="00434DC8"/>
    <w:rsid w:val="00435A81"/>
    <w:rsid w:val="00435AE3"/>
    <w:rsid w:val="00437293"/>
    <w:rsid w:val="004372F1"/>
    <w:rsid w:val="00437473"/>
    <w:rsid w:val="0043786C"/>
    <w:rsid w:val="004379EE"/>
    <w:rsid w:val="00437AF7"/>
    <w:rsid w:val="00437C08"/>
    <w:rsid w:val="0044099D"/>
    <w:rsid w:val="00440AB0"/>
    <w:rsid w:val="00440D53"/>
    <w:rsid w:val="004413B6"/>
    <w:rsid w:val="00441585"/>
    <w:rsid w:val="00441860"/>
    <w:rsid w:val="00441BC0"/>
    <w:rsid w:val="00441C2D"/>
    <w:rsid w:val="00442193"/>
    <w:rsid w:val="004427FB"/>
    <w:rsid w:val="0044282D"/>
    <w:rsid w:val="0044291E"/>
    <w:rsid w:val="00442E5E"/>
    <w:rsid w:val="00442ED4"/>
    <w:rsid w:val="004434DA"/>
    <w:rsid w:val="00443555"/>
    <w:rsid w:val="00443A4A"/>
    <w:rsid w:val="00443C90"/>
    <w:rsid w:val="0044429B"/>
    <w:rsid w:val="0044506A"/>
    <w:rsid w:val="004452A9"/>
    <w:rsid w:val="004452E8"/>
    <w:rsid w:val="00445B30"/>
    <w:rsid w:val="00445E10"/>
    <w:rsid w:val="00446140"/>
    <w:rsid w:val="00446521"/>
    <w:rsid w:val="00446564"/>
    <w:rsid w:val="004469D5"/>
    <w:rsid w:val="00446E6A"/>
    <w:rsid w:val="004502A8"/>
    <w:rsid w:val="004503CF"/>
    <w:rsid w:val="004509C7"/>
    <w:rsid w:val="004510A3"/>
    <w:rsid w:val="004515E6"/>
    <w:rsid w:val="0045168B"/>
    <w:rsid w:val="004516A7"/>
    <w:rsid w:val="00451761"/>
    <w:rsid w:val="00451FC8"/>
    <w:rsid w:val="0045282C"/>
    <w:rsid w:val="00452CF0"/>
    <w:rsid w:val="0045314B"/>
    <w:rsid w:val="00453596"/>
    <w:rsid w:val="0045379A"/>
    <w:rsid w:val="004538F0"/>
    <w:rsid w:val="00453C48"/>
    <w:rsid w:val="004544D6"/>
    <w:rsid w:val="00455AB3"/>
    <w:rsid w:val="00455B7B"/>
    <w:rsid w:val="00455C42"/>
    <w:rsid w:val="00455F13"/>
    <w:rsid w:val="004565B2"/>
    <w:rsid w:val="004566F8"/>
    <w:rsid w:val="00456B1D"/>
    <w:rsid w:val="00456E0F"/>
    <w:rsid w:val="00457185"/>
    <w:rsid w:val="004609E7"/>
    <w:rsid w:val="0046122D"/>
    <w:rsid w:val="0046132F"/>
    <w:rsid w:val="004616B6"/>
    <w:rsid w:val="00462690"/>
    <w:rsid w:val="00462DD4"/>
    <w:rsid w:val="004630EB"/>
    <w:rsid w:val="00463516"/>
    <w:rsid w:val="00464740"/>
    <w:rsid w:val="00464867"/>
    <w:rsid w:val="004649AE"/>
    <w:rsid w:val="00464FEC"/>
    <w:rsid w:val="00465175"/>
    <w:rsid w:val="004658F1"/>
    <w:rsid w:val="00465E0B"/>
    <w:rsid w:val="00466983"/>
    <w:rsid w:val="00466E4D"/>
    <w:rsid w:val="00467371"/>
    <w:rsid w:val="004703CA"/>
    <w:rsid w:val="00470DC1"/>
    <w:rsid w:val="0047166B"/>
    <w:rsid w:val="004716EE"/>
    <w:rsid w:val="0047199A"/>
    <w:rsid w:val="00471D15"/>
    <w:rsid w:val="00472231"/>
    <w:rsid w:val="004726AA"/>
    <w:rsid w:val="004732CB"/>
    <w:rsid w:val="004738E7"/>
    <w:rsid w:val="00473AD0"/>
    <w:rsid w:val="00473C8F"/>
    <w:rsid w:val="00473DF2"/>
    <w:rsid w:val="0047407C"/>
    <w:rsid w:val="00474F94"/>
    <w:rsid w:val="00475034"/>
    <w:rsid w:val="004750BE"/>
    <w:rsid w:val="004756FB"/>
    <w:rsid w:val="00475996"/>
    <w:rsid w:val="00475A64"/>
    <w:rsid w:val="00475BC7"/>
    <w:rsid w:val="00475D53"/>
    <w:rsid w:val="00475FC1"/>
    <w:rsid w:val="004760CB"/>
    <w:rsid w:val="004774CD"/>
    <w:rsid w:val="004775C1"/>
    <w:rsid w:val="004775ED"/>
    <w:rsid w:val="0047770E"/>
    <w:rsid w:val="004805F9"/>
    <w:rsid w:val="00480F09"/>
    <w:rsid w:val="004810B4"/>
    <w:rsid w:val="0048192B"/>
    <w:rsid w:val="00481A5B"/>
    <w:rsid w:val="00481C3B"/>
    <w:rsid w:val="004824AF"/>
    <w:rsid w:val="00482613"/>
    <w:rsid w:val="00483267"/>
    <w:rsid w:val="004842F1"/>
    <w:rsid w:val="004845F7"/>
    <w:rsid w:val="0048465F"/>
    <w:rsid w:val="0048490B"/>
    <w:rsid w:val="00485127"/>
    <w:rsid w:val="00485AE5"/>
    <w:rsid w:val="00485C38"/>
    <w:rsid w:val="00485D88"/>
    <w:rsid w:val="0048620B"/>
    <w:rsid w:val="0048641C"/>
    <w:rsid w:val="00486507"/>
    <w:rsid w:val="0048658F"/>
    <w:rsid w:val="00487619"/>
    <w:rsid w:val="00490567"/>
    <w:rsid w:val="004910EB"/>
    <w:rsid w:val="00493B47"/>
    <w:rsid w:val="00493D92"/>
    <w:rsid w:val="00493E3A"/>
    <w:rsid w:val="0049440D"/>
    <w:rsid w:val="0049453D"/>
    <w:rsid w:val="004947C3"/>
    <w:rsid w:val="00494D6F"/>
    <w:rsid w:val="004953D1"/>
    <w:rsid w:val="00495429"/>
    <w:rsid w:val="0049543D"/>
    <w:rsid w:val="00495BF9"/>
    <w:rsid w:val="00495EF2"/>
    <w:rsid w:val="00496115"/>
    <w:rsid w:val="0049665D"/>
    <w:rsid w:val="00496BA0"/>
    <w:rsid w:val="004979B1"/>
    <w:rsid w:val="00497A56"/>
    <w:rsid w:val="00497A69"/>
    <w:rsid w:val="004A02DB"/>
    <w:rsid w:val="004A02E3"/>
    <w:rsid w:val="004A09FD"/>
    <w:rsid w:val="004A0CF8"/>
    <w:rsid w:val="004A0F50"/>
    <w:rsid w:val="004A1083"/>
    <w:rsid w:val="004A1219"/>
    <w:rsid w:val="004A1533"/>
    <w:rsid w:val="004A1606"/>
    <w:rsid w:val="004A1CA6"/>
    <w:rsid w:val="004A239B"/>
    <w:rsid w:val="004A2675"/>
    <w:rsid w:val="004A2A50"/>
    <w:rsid w:val="004A2ABD"/>
    <w:rsid w:val="004A2BE1"/>
    <w:rsid w:val="004A2CBF"/>
    <w:rsid w:val="004A3D59"/>
    <w:rsid w:val="004A3E38"/>
    <w:rsid w:val="004A40A6"/>
    <w:rsid w:val="004A43DA"/>
    <w:rsid w:val="004A4676"/>
    <w:rsid w:val="004A4AA4"/>
    <w:rsid w:val="004A4C26"/>
    <w:rsid w:val="004A5B31"/>
    <w:rsid w:val="004A5D2A"/>
    <w:rsid w:val="004A5F16"/>
    <w:rsid w:val="004A5FEF"/>
    <w:rsid w:val="004A60A9"/>
    <w:rsid w:val="004A6992"/>
    <w:rsid w:val="004A771B"/>
    <w:rsid w:val="004A772C"/>
    <w:rsid w:val="004A7916"/>
    <w:rsid w:val="004A7B70"/>
    <w:rsid w:val="004B0C3E"/>
    <w:rsid w:val="004B141D"/>
    <w:rsid w:val="004B1AF7"/>
    <w:rsid w:val="004B1E5E"/>
    <w:rsid w:val="004B1F91"/>
    <w:rsid w:val="004B21EE"/>
    <w:rsid w:val="004B2C6F"/>
    <w:rsid w:val="004B2FAB"/>
    <w:rsid w:val="004B38F7"/>
    <w:rsid w:val="004B3A06"/>
    <w:rsid w:val="004B4CDF"/>
    <w:rsid w:val="004B4FF4"/>
    <w:rsid w:val="004B50D9"/>
    <w:rsid w:val="004B5292"/>
    <w:rsid w:val="004B56B3"/>
    <w:rsid w:val="004B5DAD"/>
    <w:rsid w:val="004B62C2"/>
    <w:rsid w:val="004B62EE"/>
    <w:rsid w:val="004B6593"/>
    <w:rsid w:val="004B6673"/>
    <w:rsid w:val="004B69A6"/>
    <w:rsid w:val="004B6E4E"/>
    <w:rsid w:val="004B7474"/>
    <w:rsid w:val="004B7511"/>
    <w:rsid w:val="004B7885"/>
    <w:rsid w:val="004B7D78"/>
    <w:rsid w:val="004B7DC4"/>
    <w:rsid w:val="004C05B3"/>
    <w:rsid w:val="004C05ED"/>
    <w:rsid w:val="004C06F6"/>
    <w:rsid w:val="004C0769"/>
    <w:rsid w:val="004C0971"/>
    <w:rsid w:val="004C1253"/>
    <w:rsid w:val="004C16C7"/>
    <w:rsid w:val="004C2A15"/>
    <w:rsid w:val="004C38B3"/>
    <w:rsid w:val="004C39F2"/>
    <w:rsid w:val="004C3BD4"/>
    <w:rsid w:val="004C48B8"/>
    <w:rsid w:val="004C4982"/>
    <w:rsid w:val="004C59E6"/>
    <w:rsid w:val="004C5A73"/>
    <w:rsid w:val="004C60EF"/>
    <w:rsid w:val="004C63AF"/>
    <w:rsid w:val="004C64B6"/>
    <w:rsid w:val="004C66A8"/>
    <w:rsid w:val="004C6992"/>
    <w:rsid w:val="004C72D0"/>
    <w:rsid w:val="004C72E8"/>
    <w:rsid w:val="004C7859"/>
    <w:rsid w:val="004C7EC9"/>
    <w:rsid w:val="004D0027"/>
    <w:rsid w:val="004D005B"/>
    <w:rsid w:val="004D0557"/>
    <w:rsid w:val="004D0FFB"/>
    <w:rsid w:val="004D167F"/>
    <w:rsid w:val="004D1A9E"/>
    <w:rsid w:val="004D213B"/>
    <w:rsid w:val="004D21A3"/>
    <w:rsid w:val="004D258B"/>
    <w:rsid w:val="004D2BF6"/>
    <w:rsid w:val="004D3080"/>
    <w:rsid w:val="004D3413"/>
    <w:rsid w:val="004D353A"/>
    <w:rsid w:val="004D358A"/>
    <w:rsid w:val="004D3CEC"/>
    <w:rsid w:val="004D3DAE"/>
    <w:rsid w:val="004D3EAE"/>
    <w:rsid w:val="004D464A"/>
    <w:rsid w:val="004D4B16"/>
    <w:rsid w:val="004D4E2A"/>
    <w:rsid w:val="004D5641"/>
    <w:rsid w:val="004D6D93"/>
    <w:rsid w:val="004D74C3"/>
    <w:rsid w:val="004D750C"/>
    <w:rsid w:val="004D7A76"/>
    <w:rsid w:val="004D7D5D"/>
    <w:rsid w:val="004D7D98"/>
    <w:rsid w:val="004E043A"/>
    <w:rsid w:val="004E056B"/>
    <w:rsid w:val="004E0818"/>
    <w:rsid w:val="004E0991"/>
    <w:rsid w:val="004E1C20"/>
    <w:rsid w:val="004E2A16"/>
    <w:rsid w:val="004E2D81"/>
    <w:rsid w:val="004E2E4E"/>
    <w:rsid w:val="004E3A44"/>
    <w:rsid w:val="004E3C3E"/>
    <w:rsid w:val="004E4C41"/>
    <w:rsid w:val="004E4F90"/>
    <w:rsid w:val="004E5327"/>
    <w:rsid w:val="004E5477"/>
    <w:rsid w:val="004E54DE"/>
    <w:rsid w:val="004E55B9"/>
    <w:rsid w:val="004E5BC8"/>
    <w:rsid w:val="004E5BD5"/>
    <w:rsid w:val="004E60A5"/>
    <w:rsid w:val="004E62F8"/>
    <w:rsid w:val="004E6463"/>
    <w:rsid w:val="004E6615"/>
    <w:rsid w:val="004E742A"/>
    <w:rsid w:val="004E7DC4"/>
    <w:rsid w:val="004F0262"/>
    <w:rsid w:val="004F0356"/>
    <w:rsid w:val="004F0A0E"/>
    <w:rsid w:val="004F1BC7"/>
    <w:rsid w:val="004F1D99"/>
    <w:rsid w:val="004F1EA8"/>
    <w:rsid w:val="004F2E4B"/>
    <w:rsid w:val="004F3777"/>
    <w:rsid w:val="004F37CB"/>
    <w:rsid w:val="004F3897"/>
    <w:rsid w:val="004F40A6"/>
    <w:rsid w:val="004F4C7E"/>
    <w:rsid w:val="004F4D67"/>
    <w:rsid w:val="004F54D0"/>
    <w:rsid w:val="004F5573"/>
    <w:rsid w:val="004F64E3"/>
    <w:rsid w:val="004F6786"/>
    <w:rsid w:val="004F6964"/>
    <w:rsid w:val="004F6980"/>
    <w:rsid w:val="004F6C86"/>
    <w:rsid w:val="004F6DDB"/>
    <w:rsid w:val="004F7B5A"/>
    <w:rsid w:val="004F7C3A"/>
    <w:rsid w:val="004F7E75"/>
    <w:rsid w:val="0050001E"/>
    <w:rsid w:val="0050042C"/>
    <w:rsid w:val="00500910"/>
    <w:rsid w:val="00500943"/>
    <w:rsid w:val="00500D83"/>
    <w:rsid w:val="005013D3"/>
    <w:rsid w:val="00501419"/>
    <w:rsid w:val="005015CA"/>
    <w:rsid w:val="00501FBF"/>
    <w:rsid w:val="00502035"/>
    <w:rsid w:val="00502195"/>
    <w:rsid w:val="00502584"/>
    <w:rsid w:val="00502944"/>
    <w:rsid w:val="00502B0A"/>
    <w:rsid w:val="005031A4"/>
    <w:rsid w:val="0050323A"/>
    <w:rsid w:val="00503739"/>
    <w:rsid w:val="005037A9"/>
    <w:rsid w:val="00503A3D"/>
    <w:rsid w:val="00503CE0"/>
    <w:rsid w:val="00504E56"/>
    <w:rsid w:val="00504EB9"/>
    <w:rsid w:val="00505A61"/>
    <w:rsid w:val="0050612B"/>
    <w:rsid w:val="005066EA"/>
    <w:rsid w:val="0050694D"/>
    <w:rsid w:val="00506F4C"/>
    <w:rsid w:val="0050707A"/>
    <w:rsid w:val="00507651"/>
    <w:rsid w:val="00507A00"/>
    <w:rsid w:val="00510516"/>
    <w:rsid w:val="005105F0"/>
    <w:rsid w:val="005107C5"/>
    <w:rsid w:val="00510EB5"/>
    <w:rsid w:val="005112FF"/>
    <w:rsid w:val="00511549"/>
    <w:rsid w:val="0051183C"/>
    <w:rsid w:val="00511880"/>
    <w:rsid w:val="0051258D"/>
    <w:rsid w:val="00512653"/>
    <w:rsid w:val="00512A84"/>
    <w:rsid w:val="00512E18"/>
    <w:rsid w:val="005131FE"/>
    <w:rsid w:val="0051346C"/>
    <w:rsid w:val="00513600"/>
    <w:rsid w:val="005136C3"/>
    <w:rsid w:val="00513A09"/>
    <w:rsid w:val="00513A57"/>
    <w:rsid w:val="005146C8"/>
    <w:rsid w:val="00514825"/>
    <w:rsid w:val="00514A64"/>
    <w:rsid w:val="00514D78"/>
    <w:rsid w:val="00515129"/>
    <w:rsid w:val="0051537C"/>
    <w:rsid w:val="00515931"/>
    <w:rsid w:val="00515C23"/>
    <w:rsid w:val="00515E70"/>
    <w:rsid w:val="0051623E"/>
    <w:rsid w:val="00516500"/>
    <w:rsid w:val="00516658"/>
    <w:rsid w:val="0051671B"/>
    <w:rsid w:val="0051678D"/>
    <w:rsid w:val="00516FF7"/>
    <w:rsid w:val="00517CF1"/>
    <w:rsid w:val="00517E74"/>
    <w:rsid w:val="005200FF"/>
    <w:rsid w:val="00520196"/>
    <w:rsid w:val="00520B07"/>
    <w:rsid w:val="005210DC"/>
    <w:rsid w:val="0052231E"/>
    <w:rsid w:val="00522DFE"/>
    <w:rsid w:val="00522E43"/>
    <w:rsid w:val="005237F4"/>
    <w:rsid w:val="005239DB"/>
    <w:rsid w:val="005239E6"/>
    <w:rsid w:val="0052485B"/>
    <w:rsid w:val="00524D3A"/>
    <w:rsid w:val="00525094"/>
    <w:rsid w:val="005252B2"/>
    <w:rsid w:val="0052544E"/>
    <w:rsid w:val="0052552C"/>
    <w:rsid w:val="00525D8B"/>
    <w:rsid w:val="00526937"/>
    <w:rsid w:val="00526A2D"/>
    <w:rsid w:val="00526F8E"/>
    <w:rsid w:val="00527187"/>
    <w:rsid w:val="00527260"/>
    <w:rsid w:val="00527FF3"/>
    <w:rsid w:val="00530A7B"/>
    <w:rsid w:val="00530C34"/>
    <w:rsid w:val="0053131F"/>
    <w:rsid w:val="00532590"/>
    <w:rsid w:val="00532B6E"/>
    <w:rsid w:val="00532F6B"/>
    <w:rsid w:val="00533198"/>
    <w:rsid w:val="005340E3"/>
    <w:rsid w:val="00534128"/>
    <w:rsid w:val="005345E7"/>
    <w:rsid w:val="00534B69"/>
    <w:rsid w:val="00535391"/>
    <w:rsid w:val="005359C3"/>
    <w:rsid w:val="0053605F"/>
    <w:rsid w:val="00536B5F"/>
    <w:rsid w:val="0053711F"/>
    <w:rsid w:val="0053729C"/>
    <w:rsid w:val="0053733D"/>
    <w:rsid w:val="005376B6"/>
    <w:rsid w:val="00537F23"/>
    <w:rsid w:val="00540073"/>
    <w:rsid w:val="00540720"/>
    <w:rsid w:val="005409E7"/>
    <w:rsid w:val="00540EAA"/>
    <w:rsid w:val="005416AB"/>
    <w:rsid w:val="00542659"/>
    <w:rsid w:val="00542E38"/>
    <w:rsid w:val="0054378C"/>
    <w:rsid w:val="0054417A"/>
    <w:rsid w:val="00544AC0"/>
    <w:rsid w:val="00544F27"/>
    <w:rsid w:val="00545808"/>
    <w:rsid w:val="005463C0"/>
    <w:rsid w:val="00546502"/>
    <w:rsid w:val="00547796"/>
    <w:rsid w:val="0055026D"/>
    <w:rsid w:val="00550AA8"/>
    <w:rsid w:val="0055151F"/>
    <w:rsid w:val="0055275A"/>
    <w:rsid w:val="005528B8"/>
    <w:rsid w:val="00553644"/>
    <w:rsid w:val="00553B1D"/>
    <w:rsid w:val="005545C0"/>
    <w:rsid w:val="0055494D"/>
    <w:rsid w:val="00554AEA"/>
    <w:rsid w:val="00554F03"/>
    <w:rsid w:val="005552C3"/>
    <w:rsid w:val="005561B6"/>
    <w:rsid w:val="00556316"/>
    <w:rsid w:val="00556359"/>
    <w:rsid w:val="00556629"/>
    <w:rsid w:val="00556782"/>
    <w:rsid w:val="00556F91"/>
    <w:rsid w:val="00557065"/>
    <w:rsid w:val="0055784B"/>
    <w:rsid w:val="00557AFD"/>
    <w:rsid w:val="00557C53"/>
    <w:rsid w:val="00557E5C"/>
    <w:rsid w:val="00557EF7"/>
    <w:rsid w:val="00560111"/>
    <w:rsid w:val="00560247"/>
    <w:rsid w:val="0056055B"/>
    <w:rsid w:val="00560BD3"/>
    <w:rsid w:val="00560E21"/>
    <w:rsid w:val="00561667"/>
    <w:rsid w:val="00561A89"/>
    <w:rsid w:val="00561ADF"/>
    <w:rsid w:val="00562CAD"/>
    <w:rsid w:val="00562CF1"/>
    <w:rsid w:val="005631F5"/>
    <w:rsid w:val="005634F3"/>
    <w:rsid w:val="00565049"/>
    <w:rsid w:val="005650A3"/>
    <w:rsid w:val="0056570B"/>
    <w:rsid w:val="00565881"/>
    <w:rsid w:val="00565985"/>
    <w:rsid w:val="00565E4E"/>
    <w:rsid w:val="005663DF"/>
    <w:rsid w:val="0056640A"/>
    <w:rsid w:val="00566806"/>
    <w:rsid w:val="00566ECC"/>
    <w:rsid w:val="00566FD3"/>
    <w:rsid w:val="005672E1"/>
    <w:rsid w:val="0056778C"/>
    <w:rsid w:val="00567AB7"/>
    <w:rsid w:val="00567B22"/>
    <w:rsid w:val="00567CCA"/>
    <w:rsid w:val="005703ED"/>
    <w:rsid w:val="00570772"/>
    <w:rsid w:val="005718D3"/>
    <w:rsid w:val="0057211C"/>
    <w:rsid w:val="005725B0"/>
    <w:rsid w:val="00572661"/>
    <w:rsid w:val="0057295F"/>
    <w:rsid w:val="005729C6"/>
    <w:rsid w:val="00573D2B"/>
    <w:rsid w:val="0057436F"/>
    <w:rsid w:val="00574652"/>
    <w:rsid w:val="0057488D"/>
    <w:rsid w:val="005753FD"/>
    <w:rsid w:val="00576307"/>
    <w:rsid w:val="0057646F"/>
    <w:rsid w:val="00576DB9"/>
    <w:rsid w:val="00580E44"/>
    <w:rsid w:val="00580E9B"/>
    <w:rsid w:val="00581153"/>
    <w:rsid w:val="0058118E"/>
    <w:rsid w:val="00581333"/>
    <w:rsid w:val="00581383"/>
    <w:rsid w:val="00582106"/>
    <w:rsid w:val="00582278"/>
    <w:rsid w:val="005827B1"/>
    <w:rsid w:val="00582DD1"/>
    <w:rsid w:val="0058305C"/>
    <w:rsid w:val="005837A5"/>
    <w:rsid w:val="005837D0"/>
    <w:rsid w:val="0058495D"/>
    <w:rsid w:val="00584BB4"/>
    <w:rsid w:val="0058570F"/>
    <w:rsid w:val="005857E2"/>
    <w:rsid w:val="00585970"/>
    <w:rsid w:val="00585E87"/>
    <w:rsid w:val="0058655D"/>
    <w:rsid w:val="00586C2C"/>
    <w:rsid w:val="00587654"/>
    <w:rsid w:val="00587DF0"/>
    <w:rsid w:val="0059041D"/>
    <w:rsid w:val="00590536"/>
    <w:rsid w:val="005905DE"/>
    <w:rsid w:val="00590B1F"/>
    <w:rsid w:val="005918F8"/>
    <w:rsid w:val="00591DD2"/>
    <w:rsid w:val="00592045"/>
    <w:rsid w:val="005921F2"/>
    <w:rsid w:val="0059231C"/>
    <w:rsid w:val="00592CFA"/>
    <w:rsid w:val="005931A9"/>
    <w:rsid w:val="0059333C"/>
    <w:rsid w:val="00593AD6"/>
    <w:rsid w:val="00593AE9"/>
    <w:rsid w:val="00594262"/>
    <w:rsid w:val="00594F10"/>
    <w:rsid w:val="00595575"/>
    <w:rsid w:val="0059606E"/>
    <w:rsid w:val="005965A0"/>
    <w:rsid w:val="00596605"/>
    <w:rsid w:val="0059698C"/>
    <w:rsid w:val="00596F34"/>
    <w:rsid w:val="005974D0"/>
    <w:rsid w:val="00597AC9"/>
    <w:rsid w:val="00597F96"/>
    <w:rsid w:val="005A02ED"/>
    <w:rsid w:val="005A0961"/>
    <w:rsid w:val="005A211C"/>
    <w:rsid w:val="005A22DF"/>
    <w:rsid w:val="005A2513"/>
    <w:rsid w:val="005A28C8"/>
    <w:rsid w:val="005A3755"/>
    <w:rsid w:val="005A3DB0"/>
    <w:rsid w:val="005A4239"/>
    <w:rsid w:val="005A4A6C"/>
    <w:rsid w:val="005A502D"/>
    <w:rsid w:val="005A5521"/>
    <w:rsid w:val="005A58F8"/>
    <w:rsid w:val="005A5F6E"/>
    <w:rsid w:val="005A6000"/>
    <w:rsid w:val="005A63C4"/>
    <w:rsid w:val="005A642B"/>
    <w:rsid w:val="005A682E"/>
    <w:rsid w:val="005A684E"/>
    <w:rsid w:val="005A6E30"/>
    <w:rsid w:val="005A6FDE"/>
    <w:rsid w:val="005A7209"/>
    <w:rsid w:val="005A7319"/>
    <w:rsid w:val="005B0064"/>
    <w:rsid w:val="005B0674"/>
    <w:rsid w:val="005B07E7"/>
    <w:rsid w:val="005B0876"/>
    <w:rsid w:val="005B08B2"/>
    <w:rsid w:val="005B09A0"/>
    <w:rsid w:val="005B0EBB"/>
    <w:rsid w:val="005B1540"/>
    <w:rsid w:val="005B18FD"/>
    <w:rsid w:val="005B2FA0"/>
    <w:rsid w:val="005B34CE"/>
    <w:rsid w:val="005B3823"/>
    <w:rsid w:val="005B438E"/>
    <w:rsid w:val="005B4A45"/>
    <w:rsid w:val="005B4C15"/>
    <w:rsid w:val="005B524D"/>
    <w:rsid w:val="005B5417"/>
    <w:rsid w:val="005B5622"/>
    <w:rsid w:val="005B5FF5"/>
    <w:rsid w:val="005B6395"/>
    <w:rsid w:val="005B6851"/>
    <w:rsid w:val="005B68FB"/>
    <w:rsid w:val="005B6D58"/>
    <w:rsid w:val="005B6EEE"/>
    <w:rsid w:val="005B7182"/>
    <w:rsid w:val="005B71D2"/>
    <w:rsid w:val="005B7697"/>
    <w:rsid w:val="005B76BF"/>
    <w:rsid w:val="005C0BEB"/>
    <w:rsid w:val="005C162D"/>
    <w:rsid w:val="005C16C6"/>
    <w:rsid w:val="005C1EC7"/>
    <w:rsid w:val="005C1F30"/>
    <w:rsid w:val="005C260C"/>
    <w:rsid w:val="005C3466"/>
    <w:rsid w:val="005C4B83"/>
    <w:rsid w:val="005C5238"/>
    <w:rsid w:val="005C549E"/>
    <w:rsid w:val="005C631C"/>
    <w:rsid w:val="005C67C1"/>
    <w:rsid w:val="005C6CB4"/>
    <w:rsid w:val="005C6CF3"/>
    <w:rsid w:val="005C6FBE"/>
    <w:rsid w:val="005C7013"/>
    <w:rsid w:val="005C7088"/>
    <w:rsid w:val="005C72B0"/>
    <w:rsid w:val="005C73DC"/>
    <w:rsid w:val="005C7757"/>
    <w:rsid w:val="005D024B"/>
    <w:rsid w:val="005D04DB"/>
    <w:rsid w:val="005D0BDD"/>
    <w:rsid w:val="005D1206"/>
    <w:rsid w:val="005D21F1"/>
    <w:rsid w:val="005D28A9"/>
    <w:rsid w:val="005D296A"/>
    <w:rsid w:val="005D2AF0"/>
    <w:rsid w:val="005D2E0E"/>
    <w:rsid w:val="005D321F"/>
    <w:rsid w:val="005D3293"/>
    <w:rsid w:val="005D3620"/>
    <w:rsid w:val="005D3CD7"/>
    <w:rsid w:val="005D41A1"/>
    <w:rsid w:val="005D5229"/>
    <w:rsid w:val="005D65E0"/>
    <w:rsid w:val="005D6D9E"/>
    <w:rsid w:val="005D7404"/>
    <w:rsid w:val="005D7793"/>
    <w:rsid w:val="005E0AF9"/>
    <w:rsid w:val="005E0FAC"/>
    <w:rsid w:val="005E196E"/>
    <w:rsid w:val="005E1CDD"/>
    <w:rsid w:val="005E214D"/>
    <w:rsid w:val="005E261A"/>
    <w:rsid w:val="005E298C"/>
    <w:rsid w:val="005E3891"/>
    <w:rsid w:val="005E3B67"/>
    <w:rsid w:val="005E4027"/>
    <w:rsid w:val="005E44E0"/>
    <w:rsid w:val="005E450D"/>
    <w:rsid w:val="005E496F"/>
    <w:rsid w:val="005E5518"/>
    <w:rsid w:val="005E5C68"/>
    <w:rsid w:val="005E5C76"/>
    <w:rsid w:val="005E6844"/>
    <w:rsid w:val="005E7056"/>
    <w:rsid w:val="005E755B"/>
    <w:rsid w:val="005E78B2"/>
    <w:rsid w:val="005E7A73"/>
    <w:rsid w:val="005E7DA2"/>
    <w:rsid w:val="005F015B"/>
    <w:rsid w:val="005F0757"/>
    <w:rsid w:val="005F083B"/>
    <w:rsid w:val="005F0AA9"/>
    <w:rsid w:val="005F1242"/>
    <w:rsid w:val="005F195F"/>
    <w:rsid w:val="005F1A70"/>
    <w:rsid w:val="005F1DF8"/>
    <w:rsid w:val="005F2245"/>
    <w:rsid w:val="005F24F4"/>
    <w:rsid w:val="005F344D"/>
    <w:rsid w:val="005F3B65"/>
    <w:rsid w:val="005F40CF"/>
    <w:rsid w:val="005F415B"/>
    <w:rsid w:val="005F45D1"/>
    <w:rsid w:val="005F4774"/>
    <w:rsid w:val="005F4778"/>
    <w:rsid w:val="005F48C7"/>
    <w:rsid w:val="005F4C4C"/>
    <w:rsid w:val="005F56EC"/>
    <w:rsid w:val="005F5DD8"/>
    <w:rsid w:val="005F6778"/>
    <w:rsid w:val="005F6F5A"/>
    <w:rsid w:val="005F7867"/>
    <w:rsid w:val="005F78F9"/>
    <w:rsid w:val="005F7A8C"/>
    <w:rsid w:val="0060001C"/>
    <w:rsid w:val="006001F6"/>
    <w:rsid w:val="0060022D"/>
    <w:rsid w:val="00600723"/>
    <w:rsid w:val="006007F0"/>
    <w:rsid w:val="00601544"/>
    <w:rsid w:val="006017ED"/>
    <w:rsid w:val="0060188A"/>
    <w:rsid w:val="00601D12"/>
    <w:rsid w:val="006022C8"/>
    <w:rsid w:val="00602430"/>
    <w:rsid w:val="0060319E"/>
    <w:rsid w:val="006038C5"/>
    <w:rsid w:val="0060404F"/>
    <w:rsid w:val="006043ED"/>
    <w:rsid w:val="0060454F"/>
    <w:rsid w:val="00605384"/>
    <w:rsid w:val="0060566A"/>
    <w:rsid w:val="00605AD2"/>
    <w:rsid w:val="00606E99"/>
    <w:rsid w:val="006073F0"/>
    <w:rsid w:val="00607AFA"/>
    <w:rsid w:val="00607B0B"/>
    <w:rsid w:val="00607D71"/>
    <w:rsid w:val="0061228B"/>
    <w:rsid w:val="006123CB"/>
    <w:rsid w:val="006124F4"/>
    <w:rsid w:val="00612C1C"/>
    <w:rsid w:val="0061369D"/>
    <w:rsid w:val="006137F2"/>
    <w:rsid w:val="006139B8"/>
    <w:rsid w:val="0061463B"/>
    <w:rsid w:val="00614C16"/>
    <w:rsid w:val="006155C0"/>
    <w:rsid w:val="00616938"/>
    <w:rsid w:val="00616B2B"/>
    <w:rsid w:val="00616C1A"/>
    <w:rsid w:val="006170CD"/>
    <w:rsid w:val="00617163"/>
    <w:rsid w:val="0061728A"/>
    <w:rsid w:val="00617804"/>
    <w:rsid w:val="00617819"/>
    <w:rsid w:val="00617B0B"/>
    <w:rsid w:val="00617CD1"/>
    <w:rsid w:val="00620011"/>
    <w:rsid w:val="00620169"/>
    <w:rsid w:val="006208DF"/>
    <w:rsid w:val="00621553"/>
    <w:rsid w:val="006216FE"/>
    <w:rsid w:val="00621794"/>
    <w:rsid w:val="006218BE"/>
    <w:rsid w:val="00621D38"/>
    <w:rsid w:val="00621E61"/>
    <w:rsid w:val="006224CE"/>
    <w:rsid w:val="0062283C"/>
    <w:rsid w:val="00622D3D"/>
    <w:rsid w:val="00623204"/>
    <w:rsid w:val="006236BA"/>
    <w:rsid w:val="00623D65"/>
    <w:rsid w:val="006241B6"/>
    <w:rsid w:val="006248A6"/>
    <w:rsid w:val="00624AF4"/>
    <w:rsid w:val="00624BBE"/>
    <w:rsid w:val="00624E25"/>
    <w:rsid w:val="00624FB2"/>
    <w:rsid w:val="0062513F"/>
    <w:rsid w:val="006269C8"/>
    <w:rsid w:val="00626FD3"/>
    <w:rsid w:val="0062731E"/>
    <w:rsid w:val="006273D1"/>
    <w:rsid w:val="00630543"/>
    <w:rsid w:val="00630D2C"/>
    <w:rsid w:val="00630DD5"/>
    <w:rsid w:val="006311C7"/>
    <w:rsid w:val="00632011"/>
    <w:rsid w:val="00632FFC"/>
    <w:rsid w:val="006333A4"/>
    <w:rsid w:val="0063371F"/>
    <w:rsid w:val="00633D64"/>
    <w:rsid w:val="00633F38"/>
    <w:rsid w:val="006358F0"/>
    <w:rsid w:val="00635E8A"/>
    <w:rsid w:val="00635EFB"/>
    <w:rsid w:val="00636463"/>
    <w:rsid w:val="0063783F"/>
    <w:rsid w:val="0064094B"/>
    <w:rsid w:val="00641550"/>
    <w:rsid w:val="00642192"/>
    <w:rsid w:val="00642626"/>
    <w:rsid w:val="00642697"/>
    <w:rsid w:val="00642958"/>
    <w:rsid w:val="00642F50"/>
    <w:rsid w:val="006430EC"/>
    <w:rsid w:val="0064366E"/>
    <w:rsid w:val="006440F8"/>
    <w:rsid w:val="00644103"/>
    <w:rsid w:val="0064429C"/>
    <w:rsid w:val="00644CD9"/>
    <w:rsid w:val="00644F4C"/>
    <w:rsid w:val="006458F7"/>
    <w:rsid w:val="00645979"/>
    <w:rsid w:val="00645DC9"/>
    <w:rsid w:val="00645F9C"/>
    <w:rsid w:val="00645FFD"/>
    <w:rsid w:val="00646AB4"/>
    <w:rsid w:val="006474CB"/>
    <w:rsid w:val="006475DB"/>
    <w:rsid w:val="006505BC"/>
    <w:rsid w:val="006505F8"/>
    <w:rsid w:val="0065087D"/>
    <w:rsid w:val="00651032"/>
    <w:rsid w:val="00651E6C"/>
    <w:rsid w:val="00652005"/>
    <w:rsid w:val="00652280"/>
    <w:rsid w:val="006529CC"/>
    <w:rsid w:val="00653AD4"/>
    <w:rsid w:val="00653E0C"/>
    <w:rsid w:val="0065436E"/>
    <w:rsid w:val="00654450"/>
    <w:rsid w:val="00654F20"/>
    <w:rsid w:val="0065528D"/>
    <w:rsid w:val="0065568C"/>
    <w:rsid w:val="00655A44"/>
    <w:rsid w:val="00655C0F"/>
    <w:rsid w:val="00655D36"/>
    <w:rsid w:val="00655E56"/>
    <w:rsid w:val="00657272"/>
    <w:rsid w:val="00657667"/>
    <w:rsid w:val="00657F03"/>
    <w:rsid w:val="00660E86"/>
    <w:rsid w:val="006610A4"/>
    <w:rsid w:val="0066146C"/>
    <w:rsid w:val="006616C5"/>
    <w:rsid w:val="00661790"/>
    <w:rsid w:val="00661F4C"/>
    <w:rsid w:val="00662575"/>
    <w:rsid w:val="00662580"/>
    <w:rsid w:val="00662FDB"/>
    <w:rsid w:val="006631B5"/>
    <w:rsid w:val="006632B1"/>
    <w:rsid w:val="00663471"/>
    <w:rsid w:val="006641A2"/>
    <w:rsid w:val="00664758"/>
    <w:rsid w:val="00664A17"/>
    <w:rsid w:val="006652D1"/>
    <w:rsid w:val="006657FB"/>
    <w:rsid w:val="0066600F"/>
    <w:rsid w:val="0066603B"/>
    <w:rsid w:val="00666D68"/>
    <w:rsid w:val="006672DF"/>
    <w:rsid w:val="006702B9"/>
    <w:rsid w:val="00670511"/>
    <w:rsid w:val="006716B9"/>
    <w:rsid w:val="00672436"/>
    <w:rsid w:val="006727E7"/>
    <w:rsid w:val="00672BFF"/>
    <w:rsid w:val="00672D8D"/>
    <w:rsid w:val="00672F7E"/>
    <w:rsid w:val="006735C0"/>
    <w:rsid w:val="00673B95"/>
    <w:rsid w:val="00673EFC"/>
    <w:rsid w:val="00673F47"/>
    <w:rsid w:val="006740DB"/>
    <w:rsid w:val="0067426D"/>
    <w:rsid w:val="006742DE"/>
    <w:rsid w:val="00674608"/>
    <w:rsid w:val="00674F11"/>
    <w:rsid w:val="006750E4"/>
    <w:rsid w:val="006751A4"/>
    <w:rsid w:val="00675D99"/>
    <w:rsid w:val="006760D9"/>
    <w:rsid w:val="006802B0"/>
    <w:rsid w:val="00680842"/>
    <w:rsid w:val="00680B17"/>
    <w:rsid w:val="00680C3B"/>
    <w:rsid w:val="00680F2E"/>
    <w:rsid w:val="00681291"/>
    <w:rsid w:val="006813BD"/>
    <w:rsid w:val="00681989"/>
    <w:rsid w:val="00681FAE"/>
    <w:rsid w:val="0068248B"/>
    <w:rsid w:val="00682717"/>
    <w:rsid w:val="00682A9C"/>
    <w:rsid w:val="00682B2A"/>
    <w:rsid w:val="0068342B"/>
    <w:rsid w:val="00683E37"/>
    <w:rsid w:val="0068514F"/>
    <w:rsid w:val="00685C42"/>
    <w:rsid w:val="00685E21"/>
    <w:rsid w:val="00685E36"/>
    <w:rsid w:val="00686BE5"/>
    <w:rsid w:val="00686BED"/>
    <w:rsid w:val="00686E67"/>
    <w:rsid w:val="00687313"/>
    <w:rsid w:val="00687826"/>
    <w:rsid w:val="00687A5D"/>
    <w:rsid w:val="00687EA4"/>
    <w:rsid w:val="0069006B"/>
    <w:rsid w:val="00690BC3"/>
    <w:rsid w:val="006912B9"/>
    <w:rsid w:val="0069132D"/>
    <w:rsid w:val="00691401"/>
    <w:rsid w:val="0069144D"/>
    <w:rsid w:val="0069172E"/>
    <w:rsid w:val="006917B7"/>
    <w:rsid w:val="006928D6"/>
    <w:rsid w:val="0069315E"/>
    <w:rsid w:val="0069388C"/>
    <w:rsid w:val="0069492A"/>
    <w:rsid w:val="00694A13"/>
    <w:rsid w:val="00694D47"/>
    <w:rsid w:val="0069518A"/>
    <w:rsid w:val="00695245"/>
    <w:rsid w:val="006952C0"/>
    <w:rsid w:val="006952DF"/>
    <w:rsid w:val="006956D9"/>
    <w:rsid w:val="006957AD"/>
    <w:rsid w:val="00695B24"/>
    <w:rsid w:val="00696BC5"/>
    <w:rsid w:val="0069727E"/>
    <w:rsid w:val="00697305"/>
    <w:rsid w:val="00697482"/>
    <w:rsid w:val="00697B99"/>
    <w:rsid w:val="00697CE1"/>
    <w:rsid w:val="006A00C0"/>
    <w:rsid w:val="006A0544"/>
    <w:rsid w:val="006A08BA"/>
    <w:rsid w:val="006A0B65"/>
    <w:rsid w:val="006A2049"/>
    <w:rsid w:val="006A21EE"/>
    <w:rsid w:val="006A2432"/>
    <w:rsid w:val="006A2B47"/>
    <w:rsid w:val="006A2B9E"/>
    <w:rsid w:val="006A2D85"/>
    <w:rsid w:val="006A2DD2"/>
    <w:rsid w:val="006A31E2"/>
    <w:rsid w:val="006A3900"/>
    <w:rsid w:val="006A3BAA"/>
    <w:rsid w:val="006A3E33"/>
    <w:rsid w:val="006A40B8"/>
    <w:rsid w:val="006A4243"/>
    <w:rsid w:val="006A425A"/>
    <w:rsid w:val="006A4B60"/>
    <w:rsid w:val="006A4F7F"/>
    <w:rsid w:val="006A526C"/>
    <w:rsid w:val="006A5B17"/>
    <w:rsid w:val="006A5BE8"/>
    <w:rsid w:val="006A5C41"/>
    <w:rsid w:val="006A6EDD"/>
    <w:rsid w:val="006A7503"/>
    <w:rsid w:val="006B10E8"/>
    <w:rsid w:val="006B16EF"/>
    <w:rsid w:val="006B18A0"/>
    <w:rsid w:val="006B1A83"/>
    <w:rsid w:val="006B1F96"/>
    <w:rsid w:val="006B21EF"/>
    <w:rsid w:val="006B262F"/>
    <w:rsid w:val="006B26F3"/>
    <w:rsid w:val="006B29DB"/>
    <w:rsid w:val="006B2B06"/>
    <w:rsid w:val="006B2B30"/>
    <w:rsid w:val="006B2CA8"/>
    <w:rsid w:val="006B36D6"/>
    <w:rsid w:val="006B44E3"/>
    <w:rsid w:val="006B4F18"/>
    <w:rsid w:val="006B511B"/>
    <w:rsid w:val="006B5BEA"/>
    <w:rsid w:val="006B5F7B"/>
    <w:rsid w:val="006B74C6"/>
    <w:rsid w:val="006B7902"/>
    <w:rsid w:val="006C0671"/>
    <w:rsid w:val="006C0907"/>
    <w:rsid w:val="006C0EC1"/>
    <w:rsid w:val="006C20A2"/>
    <w:rsid w:val="006C27BD"/>
    <w:rsid w:val="006C2911"/>
    <w:rsid w:val="006C2AB5"/>
    <w:rsid w:val="006C2E0E"/>
    <w:rsid w:val="006C2FD6"/>
    <w:rsid w:val="006C36AE"/>
    <w:rsid w:val="006C3717"/>
    <w:rsid w:val="006C3788"/>
    <w:rsid w:val="006C3F36"/>
    <w:rsid w:val="006C3F7A"/>
    <w:rsid w:val="006C3F95"/>
    <w:rsid w:val="006C44E4"/>
    <w:rsid w:val="006C46E4"/>
    <w:rsid w:val="006C4778"/>
    <w:rsid w:val="006C495A"/>
    <w:rsid w:val="006C49CD"/>
    <w:rsid w:val="006C4C5D"/>
    <w:rsid w:val="006C5775"/>
    <w:rsid w:val="006C5ADB"/>
    <w:rsid w:val="006C5E95"/>
    <w:rsid w:val="006C64CE"/>
    <w:rsid w:val="006C703F"/>
    <w:rsid w:val="006C706F"/>
    <w:rsid w:val="006C7558"/>
    <w:rsid w:val="006C76E2"/>
    <w:rsid w:val="006C7E4A"/>
    <w:rsid w:val="006D02A8"/>
    <w:rsid w:val="006D04DD"/>
    <w:rsid w:val="006D13E8"/>
    <w:rsid w:val="006D1B7D"/>
    <w:rsid w:val="006D242F"/>
    <w:rsid w:val="006D2888"/>
    <w:rsid w:val="006D2B77"/>
    <w:rsid w:val="006D4CD4"/>
    <w:rsid w:val="006D5A4A"/>
    <w:rsid w:val="006D5F46"/>
    <w:rsid w:val="006D60D1"/>
    <w:rsid w:val="006D6224"/>
    <w:rsid w:val="006D6636"/>
    <w:rsid w:val="006D7360"/>
    <w:rsid w:val="006D73B5"/>
    <w:rsid w:val="006D7552"/>
    <w:rsid w:val="006D7BC2"/>
    <w:rsid w:val="006E0B8E"/>
    <w:rsid w:val="006E0C29"/>
    <w:rsid w:val="006E1401"/>
    <w:rsid w:val="006E1DAD"/>
    <w:rsid w:val="006E2FDE"/>
    <w:rsid w:val="006E31EA"/>
    <w:rsid w:val="006E3D9C"/>
    <w:rsid w:val="006E445F"/>
    <w:rsid w:val="006E4C07"/>
    <w:rsid w:val="006E51AB"/>
    <w:rsid w:val="006E6F62"/>
    <w:rsid w:val="006E7066"/>
    <w:rsid w:val="006E7711"/>
    <w:rsid w:val="006E79EF"/>
    <w:rsid w:val="006F06EC"/>
    <w:rsid w:val="006F0722"/>
    <w:rsid w:val="006F0A15"/>
    <w:rsid w:val="006F14B0"/>
    <w:rsid w:val="006F16CC"/>
    <w:rsid w:val="006F1F3F"/>
    <w:rsid w:val="006F2245"/>
    <w:rsid w:val="006F26AB"/>
    <w:rsid w:val="006F27A2"/>
    <w:rsid w:val="006F3563"/>
    <w:rsid w:val="006F3799"/>
    <w:rsid w:val="006F3A78"/>
    <w:rsid w:val="006F3BE3"/>
    <w:rsid w:val="006F3D99"/>
    <w:rsid w:val="006F474D"/>
    <w:rsid w:val="006F490D"/>
    <w:rsid w:val="006F4E7C"/>
    <w:rsid w:val="006F6D95"/>
    <w:rsid w:val="006F72F4"/>
    <w:rsid w:val="006F7941"/>
    <w:rsid w:val="006F7A66"/>
    <w:rsid w:val="006F7F95"/>
    <w:rsid w:val="00700214"/>
    <w:rsid w:val="007002E5"/>
    <w:rsid w:val="0070046C"/>
    <w:rsid w:val="00700830"/>
    <w:rsid w:val="00700D3C"/>
    <w:rsid w:val="007012AC"/>
    <w:rsid w:val="007016BE"/>
    <w:rsid w:val="00702232"/>
    <w:rsid w:val="007025B7"/>
    <w:rsid w:val="00702995"/>
    <w:rsid w:val="00703195"/>
    <w:rsid w:val="007034AD"/>
    <w:rsid w:val="0070392E"/>
    <w:rsid w:val="00704784"/>
    <w:rsid w:val="007054CE"/>
    <w:rsid w:val="00705B6D"/>
    <w:rsid w:val="00706AD9"/>
    <w:rsid w:val="00707259"/>
    <w:rsid w:val="00707874"/>
    <w:rsid w:val="00710271"/>
    <w:rsid w:val="00710388"/>
    <w:rsid w:val="00710866"/>
    <w:rsid w:val="00710A88"/>
    <w:rsid w:val="00710B27"/>
    <w:rsid w:val="00710D1D"/>
    <w:rsid w:val="007116EE"/>
    <w:rsid w:val="00711877"/>
    <w:rsid w:val="007119CF"/>
    <w:rsid w:val="00711A37"/>
    <w:rsid w:val="00711B3C"/>
    <w:rsid w:val="007128C1"/>
    <w:rsid w:val="007128D5"/>
    <w:rsid w:val="00712ACD"/>
    <w:rsid w:val="00713D22"/>
    <w:rsid w:val="00713D4E"/>
    <w:rsid w:val="00713FA7"/>
    <w:rsid w:val="007144F0"/>
    <w:rsid w:val="00715602"/>
    <w:rsid w:val="0071580E"/>
    <w:rsid w:val="00715C47"/>
    <w:rsid w:val="00715D02"/>
    <w:rsid w:val="00715D9B"/>
    <w:rsid w:val="007172FF"/>
    <w:rsid w:val="00717375"/>
    <w:rsid w:val="007179C6"/>
    <w:rsid w:val="007201D3"/>
    <w:rsid w:val="0072054C"/>
    <w:rsid w:val="007205AE"/>
    <w:rsid w:val="007214CE"/>
    <w:rsid w:val="00721604"/>
    <w:rsid w:val="00721A0C"/>
    <w:rsid w:val="00721DB3"/>
    <w:rsid w:val="00721FA8"/>
    <w:rsid w:val="007221CA"/>
    <w:rsid w:val="007243D2"/>
    <w:rsid w:val="0072457C"/>
    <w:rsid w:val="007248C5"/>
    <w:rsid w:val="007255E2"/>
    <w:rsid w:val="00726159"/>
    <w:rsid w:val="00726672"/>
    <w:rsid w:val="00726B8C"/>
    <w:rsid w:val="00726D08"/>
    <w:rsid w:val="007277AF"/>
    <w:rsid w:val="00727B32"/>
    <w:rsid w:val="00730202"/>
    <w:rsid w:val="0073059F"/>
    <w:rsid w:val="00730F6C"/>
    <w:rsid w:val="007316D4"/>
    <w:rsid w:val="0073182B"/>
    <w:rsid w:val="0073263E"/>
    <w:rsid w:val="00732895"/>
    <w:rsid w:val="007328CF"/>
    <w:rsid w:val="00733364"/>
    <w:rsid w:val="0073367F"/>
    <w:rsid w:val="00734656"/>
    <w:rsid w:val="00734BD7"/>
    <w:rsid w:val="00734C0C"/>
    <w:rsid w:val="00734DF7"/>
    <w:rsid w:val="00735D1E"/>
    <w:rsid w:val="007364A4"/>
    <w:rsid w:val="0073663A"/>
    <w:rsid w:val="00737049"/>
    <w:rsid w:val="007371A3"/>
    <w:rsid w:val="00737786"/>
    <w:rsid w:val="007408FC"/>
    <w:rsid w:val="00740A00"/>
    <w:rsid w:val="00740D62"/>
    <w:rsid w:val="00740E4D"/>
    <w:rsid w:val="00740EE4"/>
    <w:rsid w:val="00741F9A"/>
    <w:rsid w:val="00742290"/>
    <w:rsid w:val="00742DC2"/>
    <w:rsid w:val="00742F55"/>
    <w:rsid w:val="00743A70"/>
    <w:rsid w:val="0074608A"/>
    <w:rsid w:val="007463EE"/>
    <w:rsid w:val="00746D88"/>
    <w:rsid w:val="00747264"/>
    <w:rsid w:val="007473A3"/>
    <w:rsid w:val="007478D7"/>
    <w:rsid w:val="0075086C"/>
    <w:rsid w:val="00750E6F"/>
    <w:rsid w:val="007511BF"/>
    <w:rsid w:val="00751654"/>
    <w:rsid w:val="00751830"/>
    <w:rsid w:val="00752063"/>
    <w:rsid w:val="007525D4"/>
    <w:rsid w:val="00752955"/>
    <w:rsid w:val="00752B7D"/>
    <w:rsid w:val="007531CE"/>
    <w:rsid w:val="00753853"/>
    <w:rsid w:val="0075395C"/>
    <w:rsid w:val="0075401F"/>
    <w:rsid w:val="007541D2"/>
    <w:rsid w:val="007541F3"/>
    <w:rsid w:val="007543C7"/>
    <w:rsid w:val="007545D7"/>
    <w:rsid w:val="007546C3"/>
    <w:rsid w:val="00754ED3"/>
    <w:rsid w:val="00755515"/>
    <w:rsid w:val="007558BB"/>
    <w:rsid w:val="007565EF"/>
    <w:rsid w:val="00756E3D"/>
    <w:rsid w:val="00757444"/>
    <w:rsid w:val="007577F0"/>
    <w:rsid w:val="0075781E"/>
    <w:rsid w:val="00757CA2"/>
    <w:rsid w:val="00757CF8"/>
    <w:rsid w:val="00757E72"/>
    <w:rsid w:val="00757F8F"/>
    <w:rsid w:val="00760BBB"/>
    <w:rsid w:val="00760D81"/>
    <w:rsid w:val="007615B6"/>
    <w:rsid w:val="00761678"/>
    <w:rsid w:val="0076171B"/>
    <w:rsid w:val="0076213D"/>
    <w:rsid w:val="0076221D"/>
    <w:rsid w:val="00762BF2"/>
    <w:rsid w:val="0076301E"/>
    <w:rsid w:val="0076322D"/>
    <w:rsid w:val="007639AA"/>
    <w:rsid w:val="0076425C"/>
    <w:rsid w:val="00764387"/>
    <w:rsid w:val="00764950"/>
    <w:rsid w:val="007649E8"/>
    <w:rsid w:val="00764EF6"/>
    <w:rsid w:val="0076511F"/>
    <w:rsid w:val="007653B1"/>
    <w:rsid w:val="0076560E"/>
    <w:rsid w:val="00765830"/>
    <w:rsid w:val="00765C40"/>
    <w:rsid w:val="00765F31"/>
    <w:rsid w:val="007669D8"/>
    <w:rsid w:val="00766BBE"/>
    <w:rsid w:val="00766C0F"/>
    <w:rsid w:val="00766FCE"/>
    <w:rsid w:val="00767615"/>
    <w:rsid w:val="0076788A"/>
    <w:rsid w:val="007679E2"/>
    <w:rsid w:val="00767B7C"/>
    <w:rsid w:val="00767C06"/>
    <w:rsid w:val="00770193"/>
    <w:rsid w:val="007704FB"/>
    <w:rsid w:val="00770740"/>
    <w:rsid w:val="007710C8"/>
    <w:rsid w:val="007713D9"/>
    <w:rsid w:val="0077141A"/>
    <w:rsid w:val="00771C5A"/>
    <w:rsid w:val="00771C7A"/>
    <w:rsid w:val="00772AD5"/>
    <w:rsid w:val="00772B05"/>
    <w:rsid w:val="00772B50"/>
    <w:rsid w:val="00772CA2"/>
    <w:rsid w:val="00773731"/>
    <w:rsid w:val="007737ED"/>
    <w:rsid w:val="00773B61"/>
    <w:rsid w:val="00774C95"/>
    <w:rsid w:val="00774F09"/>
    <w:rsid w:val="00775258"/>
    <w:rsid w:val="0077547F"/>
    <w:rsid w:val="007756FD"/>
    <w:rsid w:val="00775C5A"/>
    <w:rsid w:val="007761B9"/>
    <w:rsid w:val="007765EA"/>
    <w:rsid w:val="00776A73"/>
    <w:rsid w:val="00777047"/>
    <w:rsid w:val="00777140"/>
    <w:rsid w:val="00777230"/>
    <w:rsid w:val="007779AD"/>
    <w:rsid w:val="00780376"/>
    <w:rsid w:val="00780D7E"/>
    <w:rsid w:val="007814BB"/>
    <w:rsid w:val="00781553"/>
    <w:rsid w:val="00781E4C"/>
    <w:rsid w:val="00782765"/>
    <w:rsid w:val="00782AB0"/>
    <w:rsid w:val="00782C9F"/>
    <w:rsid w:val="00783839"/>
    <w:rsid w:val="00783BAB"/>
    <w:rsid w:val="007845ED"/>
    <w:rsid w:val="007849F3"/>
    <w:rsid w:val="00784FEF"/>
    <w:rsid w:val="00785548"/>
    <w:rsid w:val="00785B77"/>
    <w:rsid w:val="00786063"/>
    <w:rsid w:val="007860F0"/>
    <w:rsid w:val="007868BC"/>
    <w:rsid w:val="00787A7F"/>
    <w:rsid w:val="00787A81"/>
    <w:rsid w:val="0079065A"/>
    <w:rsid w:val="00790CEA"/>
    <w:rsid w:val="007911FE"/>
    <w:rsid w:val="00791CDB"/>
    <w:rsid w:val="00792095"/>
    <w:rsid w:val="007921EE"/>
    <w:rsid w:val="007929FD"/>
    <w:rsid w:val="00792B75"/>
    <w:rsid w:val="0079360E"/>
    <w:rsid w:val="007936F9"/>
    <w:rsid w:val="00793A89"/>
    <w:rsid w:val="00793AD4"/>
    <w:rsid w:val="007940F6"/>
    <w:rsid w:val="007942EE"/>
    <w:rsid w:val="00794889"/>
    <w:rsid w:val="00794AB0"/>
    <w:rsid w:val="00794DF4"/>
    <w:rsid w:val="00794F34"/>
    <w:rsid w:val="0079518E"/>
    <w:rsid w:val="00795760"/>
    <w:rsid w:val="007958F8"/>
    <w:rsid w:val="00795B72"/>
    <w:rsid w:val="00796371"/>
    <w:rsid w:val="00796C03"/>
    <w:rsid w:val="0079736B"/>
    <w:rsid w:val="00797C06"/>
    <w:rsid w:val="007A068C"/>
    <w:rsid w:val="007A0A91"/>
    <w:rsid w:val="007A1338"/>
    <w:rsid w:val="007A1929"/>
    <w:rsid w:val="007A1D17"/>
    <w:rsid w:val="007A2179"/>
    <w:rsid w:val="007A259B"/>
    <w:rsid w:val="007A27D9"/>
    <w:rsid w:val="007A3079"/>
    <w:rsid w:val="007A32CB"/>
    <w:rsid w:val="007A3AEF"/>
    <w:rsid w:val="007A4143"/>
    <w:rsid w:val="007A4665"/>
    <w:rsid w:val="007A4833"/>
    <w:rsid w:val="007A483E"/>
    <w:rsid w:val="007A4CEE"/>
    <w:rsid w:val="007A52B3"/>
    <w:rsid w:val="007A61A7"/>
    <w:rsid w:val="007A62F6"/>
    <w:rsid w:val="007A6A9D"/>
    <w:rsid w:val="007A6AF4"/>
    <w:rsid w:val="007A6C80"/>
    <w:rsid w:val="007A75F3"/>
    <w:rsid w:val="007A793C"/>
    <w:rsid w:val="007B154C"/>
    <w:rsid w:val="007B15F0"/>
    <w:rsid w:val="007B249F"/>
    <w:rsid w:val="007B2E63"/>
    <w:rsid w:val="007B2EFD"/>
    <w:rsid w:val="007B3392"/>
    <w:rsid w:val="007B3498"/>
    <w:rsid w:val="007B3979"/>
    <w:rsid w:val="007B3AA9"/>
    <w:rsid w:val="007B3B1E"/>
    <w:rsid w:val="007B3D86"/>
    <w:rsid w:val="007B3DC7"/>
    <w:rsid w:val="007B3DD7"/>
    <w:rsid w:val="007B3F78"/>
    <w:rsid w:val="007B43CE"/>
    <w:rsid w:val="007B499D"/>
    <w:rsid w:val="007B5068"/>
    <w:rsid w:val="007B51EF"/>
    <w:rsid w:val="007B58D7"/>
    <w:rsid w:val="007B59E7"/>
    <w:rsid w:val="007B5A51"/>
    <w:rsid w:val="007B5B05"/>
    <w:rsid w:val="007B5DF5"/>
    <w:rsid w:val="007B61AA"/>
    <w:rsid w:val="007B6A40"/>
    <w:rsid w:val="007B7239"/>
    <w:rsid w:val="007B7966"/>
    <w:rsid w:val="007B7B30"/>
    <w:rsid w:val="007B7B82"/>
    <w:rsid w:val="007B7CF0"/>
    <w:rsid w:val="007C00E2"/>
    <w:rsid w:val="007C0D2B"/>
    <w:rsid w:val="007C0F65"/>
    <w:rsid w:val="007C1263"/>
    <w:rsid w:val="007C1B18"/>
    <w:rsid w:val="007C1B7F"/>
    <w:rsid w:val="007C1CB5"/>
    <w:rsid w:val="007C2D3D"/>
    <w:rsid w:val="007C3138"/>
    <w:rsid w:val="007C389D"/>
    <w:rsid w:val="007C3B3C"/>
    <w:rsid w:val="007C3FC8"/>
    <w:rsid w:val="007C41F5"/>
    <w:rsid w:val="007C5D25"/>
    <w:rsid w:val="007C5EF3"/>
    <w:rsid w:val="007C60F1"/>
    <w:rsid w:val="007C63B1"/>
    <w:rsid w:val="007C6713"/>
    <w:rsid w:val="007C7102"/>
    <w:rsid w:val="007C7F18"/>
    <w:rsid w:val="007D1D75"/>
    <w:rsid w:val="007D22B6"/>
    <w:rsid w:val="007D2593"/>
    <w:rsid w:val="007D2EE8"/>
    <w:rsid w:val="007D35E0"/>
    <w:rsid w:val="007D394F"/>
    <w:rsid w:val="007D3F3E"/>
    <w:rsid w:val="007D40D3"/>
    <w:rsid w:val="007D435C"/>
    <w:rsid w:val="007D4D07"/>
    <w:rsid w:val="007D5D43"/>
    <w:rsid w:val="007D772E"/>
    <w:rsid w:val="007D7794"/>
    <w:rsid w:val="007D7959"/>
    <w:rsid w:val="007D799A"/>
    <w:rsid w:val="007D7B0D"/>
    <w:rsid w:val="007E098F"/>
    <w:rsid w:val="007E0E71"/>
    <w:rsid w:val="007E117F"/>
    <w:rsid w:val="007E12D6"/>
    <w:rsid w:val="007E17F0"/>
    <w:rsid w:val="007E1ACE"/>
    <w:rsid w:val="007E2914"/>
    <w:rsid w:val="007E2A40"/>
    <w:rsid w:val="007E3405"/>
    <w:rsid w:val="007E37CE"/>
    <w:rsid w:val="007E3AB6"/>
    <w:rsid w:val="007E4262"/>
    <w:rsid w:val="007E45F3"/>
    <w:rsid w:val="007E4647"/>
    <w:rsid w:val="007E4AF7"/>
    <w:rsid w:val="007E54F7"/>
    <w:rsid w:val="007E7027"/>
    <w:rsid w:val="007E7114"/>
    <w:rsid w:val="007F0226"/>
    <w:rsid w:val="007F1172"/>
    <w:rsid w:val="007F1EB2"/>
    <w:rsid w:val="007F2AC5"/>
    <w:rsid w:val="007F3687"/>
    <w:rsid w:val="007F388B"/>
    <w:rsid w:val="007F3B6F"/>
    <w:rsid w:val="007F463F"/>
    <w:rsid w:val="007F4F5E"/>
    <w:rsid w:val="007F5057"/>
    <w:rsid w:val="007F523C"/>
    <w:rsid w:val="007F5572"/>
    <w:rsid w:val="007F689D"/>
    <w:rsid w:val="007F69C6"/>
    <w:rsid w:val="007F73A4"/>
    <w:rsid w:val="007F755E"/>
    <w:rsid w:val="007F7A52"/>
    <w:rsid w:val="007F7A80"/>
    <w:rsid w:val="0080000C"/>
    <w:rsid w:val="00800A94"/>
    <w:rsid w:val="008010E9"/>
    <w:rsid w:val="008014EC"/>
    <w:rsid w:val="00801801"/>
    <w:rsid w:val="00801819"/>
    <w:rsid w:val="0080199D"/>
    <w:rsid w:val="00802328"/>
    <w:rsid w:val="008029BE"/>
    <w:rsid w:val="00802A2C"/>
    <w:rsid w:val="00802F54"/>
    <w:rsid w:val="0080329F"/>
    <w:rsid w:val="008036B5"/>
    <w:rsid w:val="00803B76"/>
    <w:rsid w:val="00803C94"/>
    <w:rsid w:val="00804979"/>
    <w:rsid w:val="00804C9D"/>
    <w:rsid w:val="00804CC5"/>
    <w:rsid w:val="008053C3"/>
    <w:rsid w:val="00805880"/>
    <w:rsid w:val="00805A53"/>
    <w:rsid w:val="00805A73"/>
    <w:rsid w:val="00805BAA"/>
    <w:rsid w:val="008060C2"/>
    <w:rsid w:val="00807548"/>
    <w:rsid w:val="0080759C"/>
    <w:rsid w:val="00810294"/>
    <w:rsid w:val="008105DA"/>
    <w:rsid w:val="00810CF9"/>
    <w:rsid w:val="00811723"/>
    <w:rsid w:val="00811EF2"/>
    <w:rsid w:val="00812A50"/>
    <w:rsid w:val="008133A2"/>
    <w:rsid w:val="00813613"/>
    <w:rsid w:val="0081394F"/>
    <w:rsid w:val="00813EBA"/>
    <w:rsid w:val="0081597A"/>
    <w:rsid w:val="00815A7E"/>
    <w:rsid w:val="00815D77"/>
    <w:rsid w:val="00815DBA"/>
    <w:rsid w:val="00815F5F"/>
    <w:rsid w:val="00815F9B"/>
    <w:rsid w:val="00816241"/>
    <w:rsid w:val="00816613"/>
    <w:rsid w:val="00816CFF"/>
    <w:rsid w:val="00817D0B"/>
    <w:rsid w:val="00817D7A"/>
    <w:rsid w:val="00820070"/>
    <w:rsid w:val="008204C2"/>
    <w:rsid w:val="00820992"/>
    <w:rsid w:val="00820B05"/>
    <w:rsid w:val="00820F18"/>
    <w:rsid w:val="00821C5E"/>
    <w:rsid w:val="00821C87"/>
    <w:rsid w:val="00821E7E"/>
    <w:rsid w:val="00822382"/>
    <w:rsid w:val="008229CE"/>
    <w:rsid w:val="00822AD0"/>
    <w:rsid w:val="00822C8E"/>
    <w:rsid w:val="008233A2"/>
    <w:rsid w:val="00823ACE"/>
    <w:rsid w:val="008247F3"/>
    <w:rsid w:val="008249A9"/>
    <w:rsid w:val="00824B0A"/>
    <w:rsid w:val="00824F9B"/>
    <w:rsid w:val="0082505E"/>
    <w:rsid w:val="00825DC4"/>
    <w:rsid w:val="008262A8"/>
    <w:rsid w:val="00826387"/>
    <w:rsid w:val="008271A3"/>
    <w:rsid w:val="00827526"/>
    <w:rsid w:val="008300BC"/>
    <w:rsid w:val="0083047A"/>
    <w:rsid w:val="0083073F"/>
    <w:rsid w:val="00830E1F"/>
    <w:rsid w:val="00831187"/>
    <w:rsid w:val="00831378"/>
    <w:rsid w:val="00831CCF"/>
    <w:rsid w:val="008322AA"/>
    <w:rsid w:val="00832B55"/>
    <w:rsid w:val="008334D5"/>
    <w:rsid w:val="008336CC"/>
    <w:rsid w:val="008336E7"/>
    <w:rsid w:val="00833CF7"/>
    <w:rsid w:val="008340F4"/>
    <w:rsid w:val="008343DE"/>
    <w:rsid w:val="00834869"/>
    <w:rsid w:val="00834C53"/>
    <w:rsid w:val="00834EAC"/>
    <w:rsid w:val="00834F73"/>
    <w:rsid w:val="00835973"/>
    <w:rsid w:val="00835C80"/>
    <w:rsid w:val="00836838"/>
    <w:rsid w:val="008369F0"/>
    <w:rsid w:val="00836B7B"/>
    <w:rsid w:val="00836B9E"/>
    <w:rsid w:val="00836BAE"/>
    <w:rsid w:val="0083724B"/>
    <w:rsid w:val="00837255"/>
    <w:rsid w:val="00837BF8"/>
    <w:rsid w:val="0084024D"/>
    <w:rsid w:val="00840D6C"/>
    <w:rsid w:val="0084172C"/>
    <w:rsid w:val="008420FD"/>
    <w:rsid w:val="0084245F"/>
    <w:rsid w:val="0084296F"/>
    <w:rsid w:val="00842C84"/>
    <w:rsid w:val="00842DFC"/>
    <w:rsid w:val="00842EBF"/>
    <w:rsid w:val="00843EB7"/>
    <w:rsid w:val="0084490F"/>
    <w:rsid w:val="00844E26"/>
    <w:rsid w:val="00845394"/>
    <w:rsid w:val="008459D1"/>
    <w:rsid w:val="00846E77"/>
    <w:rsid w:val="00847103"/>
    <w:rsid w:val="00847348"/>
    <w:rsid w:val="0084743A"/>
    <w:rsid w:val="00847B40"/>
    <w:rsid w:val="00850042"/>
    <w:rsid w:val="00850490"/>
    <w:rsid w:val="00852305"/>
    <w:rsid w:val="00852C85"/>
    <w:rsid w:val="00852CB7"/>
    <w:rsid w:val="00853766"/>
    <w:rsid w:val="00853F9A"/>
    <w:rsid w:val="008546CC"/>
    <w:rsid w:val="008547B4"/>
    <w:rsid w:val="00854BB3"/>
    <w:rsid w:val="00854D69"/>
    <w:rsid w:val="008551D8"/>
    <w:rsid w:val="00855745"/>
    <w:rsid w:val="00855CB4"/>
    <w:rsid w:val="008564F0"/>
    <w:rsid w:val="00856500"/>
    <w:rsid w:val="00856A5C"/>
    <w:rsid w:val="008570B8"/>
    <w:rsid w:val="008606A2"/>
    <w:rsid w:val="00860B98"/>
    <w:rsid w:val="00860D11"/>
    <w:rsid w:val="00860D83"/>
    <w:rsid w:val="00861435"/>
    <w:rsid w:val="008617E4"/>
    <w:rsid w:val="00861814"/>
    <w:rsid w:val="008620FA"/>
    <w:rsid w:val="00862203"/>
    <w:rsid w:val="008624E7"/>
    <w:rsid w:val="008629FB"/>
    <w:rsid w:val="00862C12"/>
    <w:rsid w:val="00862CDC"/>
    <w:rsid w:val="00863623"/>
    <w:rsid w:val="00863DF9"/>
    <w:rsid w:val="008642B9"/>
    <w:rsid w:val="00865EC0"/>
    <w:rsid w:val="008660A1"/>
    <w:rsid w:val="008663FC"/>
    <w:rsid w:val="008664F1"/>
    <w:rsid w:val="0086691E"/>
    <w:rsid w:val="00866B0C"/>
    <w:rsid w:val="00866BC8"/>
    <w:rsid w:val="00867024"/>
    <w:rsid w:val="008677BE"/>
    <w:rsid w:val="008678A7"/>
    <w:rsid w:val="008710B9"/>
    <w:rsid w:val="008713F0"/>
    <w:rsid w:val="00871BCB"/>
    <w:rsid w:val="00871BE7"/>
    <w:rsid w:val="00871C41"/>
    <w:rsid w:val="00871CC4"/>
    <w:rsid w:val="00871E6B"/>
    <w:rsid w:val="00871F5D"/>
    <w:rsid w:val="008720BC"/>
    <w:rsid w:val="0087240C"/>
    <w:rsid w:val="0087286B"/>
    <w:rsid w:val="00873132"/>
    <w:rsid w:val="00873216"/>
    <w:rsid w:val="00873303"/>
    <w:rsid w:val="008736C9"/>
    <w:rsid w:val="0087387D"/>
    <w:rsid w:val="00873B05"/>
    <w:rsid w:val="00873EDF"/>
    <w:rsid w:val="00873EE9"/>
    <w:rsid w:val="00874412"/>
    <w:rsid w:val="00875673"/>
    <w:rsid w:val="00875D3B"/>
    <w:rsid w:val="0087612C"/>
    <w:rsid w:val="0087635F"/>
    <w:rsid w:val="008769AB"/>
    <w:rsid w:val="00876A64"/>
    <w:rsid w:val="00876FCE"/>
    <w:rsid w:val="00877680"/>
    <w:rsid w:val="008802B6"/>
    <w:rsid w:val="0088059F"/>
    <w:rsid w:val="00880717"/>
    <w:rsid w:val="00881025"/>
    <w:rsid w:val="00881051"/>
    <w:rsid w:val="00881254"/>
    <w:rsid w:val="0088158C"/>
    <w:rsid w:val="00881C72"/>
    <w:rsid w:val="00882D14"/>
    <w:rsid w:val="00882E4E"/>
    <w:rsid w:val="00883AED"/>
    <w:rsid w:val="00883F0F"/>
    <w:rsid w:val="00883FCA"/>
    <w:rsid w:val="008844BA"/>
    <w:rsid w:val="00884A07"/>
    <w:rsid w:val="0088510D"/>
    <w:rsid w:val="00885234"/>
    <w:rsid w:val="00885945"/>
    <w:rsid w:val="008874F3"/>
    <w:rsid w:val="008875C3"/>
    <w:rsid w:val="00887771"/>
    <w:rsid w:val="0089059D"/>
    <w:rsid w:val="0089072C"/>
    <w:rsid w:val="00890740"/>
    <w:rsid w:val="00890E50"/>
    <w:rsid w:val="00891915"/>
    <w:rsid w:val="00891957"/>
    <w:rsid w:val="00891EED"/>
    <w:rsid w:val="008922FC"/>
    <w:rsid w:val="008932B2"/>
    <w:rsid w:val="008933DA"/>
    <w:rsid w:val="00893D1C"/>
    <w:rsid w:val="00893D8B"/>
    <w:rsid w:val="00894003"/>
    <w:rsid w:val="008940E7"/>
    <w:rsid w:val="00894395"/>
    <w:rsid w:val="008943D1"/>
    <w:rsid w:val="00894F6B"/>
    <w:rsid w:val="00895992"/>
    <w:rsid w:val="008959B2"/>
    <w:rsid w:val="00895E2F"/>
    <w:rsid w:val="008972A9"/>
    <w:rsid w:val="008976AF"/>
    <w:rsid w:val="00897C6E"/>
    <w:rsid w:val="00897CDD"/>
    <w:rsid w:val="008A02C3"/>
    <w:rsid w:val="008A071C"/>
    <w:rsid w:val="008A1347"/>
    <w:rsid w:val="008A18B6"/>
    <w:rsid w:val="008A1F72"/>
    <w:rsid w:val="008A1F96"/>
    <w:rsid w:val="008A20C0"/>
    <w:rsid w:val="008A26F2"/>
    <w:rsid w:val="008A2A61"/>
    <w:rsid w:val="008A2D6D"/>
    <w:rsid w:val="008A31CE"/>
    <w:rsid w:val="008A341C"/>
    <w:rsid w:val="008A36CE"/>
    <w:rsid w:val="008A380D"/>
    <w:rsid w:val="008A3859"/>
    <w:rsid w:val="008A3C63"/>
    <w:rsid w:val="008A3DF7"/>
    <w:rsid w:val="008A5A58"/>
    <w:rsid w:val="008A5B13"/>
    <w:rsid w:val="008A6026"/>
    <w:rsid w:val="008A6223"/>
    <w:rsid w:val="008A6263"/>
    <w:rsid w:val="008A6F44"/>
    <w:rsid w:val="008A701F"/>
    <w:rsid w:val="008A7E4B"/>
    <w:rsid w:val="008A7F54"/>
    <w:rsid w:val="008B0033"/>
    <w:rsid w:val="008B0B17"/>
    <w:rsid w:val="008B120B"/>
    <w:rsid w:val="008B16DF"/>
    <w:rsid w:val="008B1736"/>
    <w:rsid w:val="008B1DD4"/>
    <w:rsid w:val="008B2145"/>
    <w:rsid w:val="008B224E"/>
    <w:rsid w:val="008B2805"/>
    <w:rsid w:val="008B3BE3"/>
    <w:rsid w:val="008B3ECB"/>
    <w:rsid w:val="008B42A0"/>
    <w:rsid w:val="008B4538"/>
    <w:rsid w:val="008B4E30"/>
    <w:rsid w:val="008B52AE"/>
    <w:rsid w:val="008B6310"/>
    <w:rsid w:val="008B69EE"/>
    <w:rsid w:val="008B75B6"/>
    <w:rsid w:val="008B79C7"/>
    <w:rsid w:val="008B7DCD"/>
    <w:rsid w:val="008C007B"/>
    <w:rsid w:val="008C0EBC"/>
    <w:rsid w:val="008C11D2"/>
    <w:rsid w:val="008C1A7B"/>
    <w:rsid w:val="008C1C0A"/>
    <w:rsid w:val="008C1C75"/>
    <w:rsid w:val="008C1ECB"/>
    <w:rsid w:val="008C2D25"/>
    <w:rsid w:val="008C2D45"/>
    <w:rsid w:val="008C3047"/>
    <w:rsid w:val="008C37F1"/>
    <w:rsid w:val="008C37FE"/>
    <w:rsid w:val="008C4145"/>
    <w:rsid w:val="008C4B88"/>
    <w:rsid w:val="008C522B"/>
    <w:rsid w:val="008C579D"/>
    <w:rsid w:val="008C6340"/>
    <w:rsid w:val="008C6765"/>
    <w:rsid w:val="008C7267"/>
    <w:rsid w:val="008C7AF5"/>
    <w:rsid w:val="008C7F0F"/>
    <w:rsid w:val="008D03B5"/>
    <w:rsid w:val="008D05D8"/>
    <w:rsid w:val="008D10BA"/>
    <w:rsid w:val="008D19DB"/>
    <w:rsid w:val="008D1A67"/>
    <w:rsid w:val="008D23C5"/>
    <w:rsid w:val="008D2E46"/>
    <w:rsid w:val="008D2F46"/>
    <w:rsid w:val="008D307E"/>
    <w:rsid w:val="008D396D"/>
    <w:rsid w:val="008D3BAC"/>
    <w:rsid w:val="008D41CC"/>
    <w:rsid w:val="008D42B2"/>
    <w:rsid w:val="008D4CD9"/>
    <w:rsid w:val="008D4F8C"/>
    <w:rsid w:val="008D5128"/>
    <w:rsid w:val="008D55FC"/>
    <w:rsid w:val="008D5D9C"/>
    <w:rsid w:val="008D5F21"/>
    <w:rsid w:val="008D7301"/>
    <w:rsid w:val="008D770F"/>
    <w:rsid w:val="008D7F51"/>
    <w:rsid w:val="008D7F76"/>
    <w:rsid w:val="008E0DE4"/>
    <w:rsid w:val="008E0F76"/>
    <w:rsid w:val="008E1DF3"/>
    <w:rsid w:val="008E23E2"/>
    <w:rsid w:val="008E24BC"/>
    <w:rsid w:val="008E2AF4"/>
    <w:rsid w:val="008E2F14"/>
    <w:rsid w:val="008E3155"/>
    <w:rsid w:val="008E362F"/>
    <w:rsid w:val="008E3A3A"/>
    <w:rsid w:val="008E3E9F"/>
    <w:rsid w:val="008E422F"/>
    <w:rsid w:val="008E44CE"/>
    <w:rsid w:val="008E4686"/>
    <w:rsid w:val="008E46A3"/>
    <w:rsid w:val="008E4DDE"/>
    <w:rsid w:val="008E521B"/>
    <w:rsid w:val="008E56FA"/>
    <w:rsid w:val="008E5853"/>
    <w:rsid w:val="008E5AE1"/>
    <w:rsid w:val="008E5F07"/>
    <w:rsid w:val="008E5F0F"/>
    <w:rsid w:val="008E61F2"/>
    <w:rsid w:val="008E64A4"/>
    <w:rsid w:val="008E6566"/>
    <w:rsid w:val="008E699C"/>
    <w:rsid w:val="008E7075"/>
    <w:rsid w:val="008E73D9"/>
    <w:rsid w:val="008E7723"/>
    <w:rsid w:val="008F044B"/>
    <w:rsid w:val="008F0717"/>
    <w:rsid w:val="008F0C16"/>
    <w:rsid w:val="008F0CCF"/>
    <w:rsid w:val="008F0F6E"/>
    <w:rsid w:val="008F17D2"/>
    <w:rsid w:val="008F1AE8"/>
    <w:rsid w:val="008F222B"/>
    <w:rsid w:val="008F2FC1"/>
    <w:rsid w:val="008F3216"/>
    <w:rsid w:val="008F347A"/>
    <w:rsid w:val="008F3CA7"/>
    <w:rsid w:val="008F4F62"/>
    <w:rsid w:val="008F4FC5"/>
    <w:rsid w:val="008F5720"/>
    <w:rsid w:val="008F5782"/>
    <w:rsid w:val="008F5C43"/>
    <w:rsid w:val="008F5D76"/>
    <w:rsid w:val="008F6344"/>
    <w:rsid w:val="008F69D6"/>
    <w:rsid w:val="0090002A"/>
    <w:rsid w:val="0090084E"/>
    <w:rsid w:val="00900864"/>
    <w:rsid w:val="009014E5"/>
    <w:rsid w:val="0090152A"/>
    <w:rsid w:val="00901FAF"/>
    <w:rsid w:val="0090236F"/>
    <w:rsid w:val="009037B2"/>
    <w:rsid w:val="009039F6"/>
    <w:rsid w:val="00903DA9"/>
    <w:rsid w:val="00903F75"/>
    <w:rsid w:val="0090430F"/>
    <w:rsid w:val="009045F2"/>
    <w:rsid w:val="0090649B"/>
    <w:rsid w:val="009069A7"/>
    <w:rsid w:val="00906FDD"/>
    <w:rsid w:val="00907033"/>
    <w:rsid w:val="009071E7"/>
    <w:rsid w:val="00907853"/>
    <w:rsid w:val="009078DD"/>
    <w:rsid w:val="00907DDE"/>
    <w:rsid w:val="00910047"/>
    <w:rsid w:val="00910A7E"/>
    <w:rsid w:val="0091128B"/>
    <w:rsid w:val="009112DA"/>
    <w:rsid w:val="00911585"/>
    <w:rsid w:val="00911592"/>
    <w:rsid w:val="00911DC6"/>
    <w:rsid w:val="00911DE9"/>
    <w:rsid w:val="0091281B"/>
    <w:rsid w:val="009129FF"/>
    <w:rsid w:val="00912EAC"/>
    <w:rsid w:val="00913129"/>
    <w:rsid w:val="009137C5"/>
    <w:rsid w:val="00913930"/>
    <w:rsid w:val="00913D95"/>
    <w:rsid w:val="00913E46"/>
    <w:rsid w:val="00915B5E"/>
    <w:rsid w:val="00915DDE"/>
    <w:rsid w:val="0091612A"/>
    <w:rsid w:val="00916667"/>
    <w:rsid w:val="009169C5"/>
    <w:rsid w:val="00917015"/>
    <w:rsid w:val="0091788B"/>
    <w:rsid w:val="00917AAC"/>
    <w:rsid w:val="00917BB1"/>
    <w:rsid w:val="00920335"/>
    <w:rsid w:val="00920B9C"/>
    <w:rsid w:val="00920CE5"/>
    <w:rsid w:val="00921710"/>
    <w:rsid w:val="009217FA"/>
    <w:rsid w:val="009218F8"/>
    <w:rsid w:val="009220A9"/>
    <w:rsid w:val="00922416"/>
    <w:rsid w:val="00922E7F"/>
    <w:rsid w:val="00922E87"/>
    <w:rsid w:val="0092324D"/>
    <w:rsid w:val="00923EA2"/>
    <w:rsid w:val="009248AF"/>
    <w:rsid w:val="00925E92"/>
    <w:rsid w:val="0092693F"/>
    <w:rsid w:val="00926CF7"/>
    <w:rsid w:val="00926D69"/>
    <w:rsid w:val="009277FE"/>
    <w:rsid w:val="00927934"/>
    <w:rsid w:val="00927C24"/>
    <w:rsid w:val="00927D5E"/>
    <w:rsid w:val="00927D8B"/>
    <w:rsid w:val="00927E43"/>
    <w:rsid w:val="009300E3"/>
    <w:rsid w:val="009301B5"/>
    <w:rsid w:val="00930801"/>
    <w:rsid w:val="00930888"/>
    <w:rsid w:val="00930968"/>
    <w:rsid w:val="009312FA"/>
    <w:rsid w:val="009317CF"/>
    <w:rsid w:val="00932148"/>
    <w:rsid w:val="009323E0"/>
    <w:rsid w:val="00932650"/>
    <w:rsid w:val="00932CF1"/>
    <w:rsid w:val="00933687"/>
    <w:rsid w:val="009336D3"/>
    <w:rsid w:val="0093409F"/>
    <w:rsid w:val="009342C5"/>
    <w:rsid w:val="0093590F"/>
    <w:rsid w:val="0093652A"/>
    <w:rsid w:val="0093676A"/>
    <w:rsid w:val="00936F46"/>
    <w:rsid w:val="00937388"/>
    <w:rsid w:val="00937A3A"/>
    <w:rsid w:val="0094034F"/>
    <w:rsid w:val="00940795"/>
    <w:rsid w:val="00940844"/>
    <w:rsid w:val="00940F0F"/>
    <w:rsid w:val="00941431"/>
    <w:rsid w:val="00941484"/>
    <w:rsid w:val="0094169B"/>
    <w:rsid w:val="009416BF"/>
    <w:rsid w:val="00942547"/>
    <w:rsid w:val="0094263A"/>
    <w:rsid w:val="00942F78"/>
    <w:rsid w:val="00943049"/>
    <w:rsid w:val="00943147"/>
    <w:rsid w:val="009431C9"/>
    <w:rsid w:val="00943C8F"/>
    <w:rsid w:val="00944576"/>
    <w:rsid w:val="00944AFA"/>
    <w:rsid w:val="00945282"/>
    <w:rsid w:val="00945457"/>
    <w:rsid w:val="009455A3"/>
    <w:rsid w:val="00945B9F"/>
    <w:rsid w:val="00945CFB"/>
    <w:rsid w:val="00946740"/>
    <w:rsid w:val="0094735C"/>
    <w:rsid w:val="00947F94"/>
    <w:rsid w:val="00950028"/>
    <w:rsid w:val="00950781"/>
    <w:rsid w:val="00950FC2"/>
    <w:rsid w:val="00952570"/>
    <w:rsid w:val="0095268A"/>
    <w:rsid w:val="00952B59"/>
    <w:rsid w:val="00952D77"/>
    <w:rsid w:val="00953BAC"/>
    <w:rsid w:val="0095429B"/>
    <w:rsid w:val="009544A4"/>
    <w:rsid w:val="00954522"/>
    <w:rsid w:val="0095474A"/>
    <w:rsid w:val="00954D5B"/>
    <w:rsid w:val="00956629"/>
    <w:rsid w:val="00957CEB"/>
    <w:rsid w:val="00960184"/>
    <w:rsid w:val="00960965"/>
    <w:rsid w:val="00960BC6"/>
    <w:rsid w:val="00960CC3"/>
    <w:rsid w:val="00961207"/>
    <w:rsid w:val="00961637"/>
    <w:rsid w:val="00961916"/>
    <w:rsid w:val="00961D2D"/>
    <w:rsid w:val="00961F45"/>
    <w:rsid w:val="00962146"/>
    <w:rsid w:val="00962B8E"/>
    <w:rsid w:val="00962BC6"/>
    <w:rsid w:val="00962C4C"/>
    <w:rsid w:val="00963877"/>
    <w:rsid w:val="00963AAC"/>
    <w:rsid w:val="00963BD5"/>
    <w:rsid w:val="009642E2"/>
    <w:rsid w:val="0096438C"/>
    <w:rsid w:val="009644BA"/>
    <w:rsid w:val="0096475C"/>
    <w:rsid w:val="00964DCC"/>
    <w:rsid w:val="00964E7E"/>
    <w:rsid w:val="009653BD"/>
    <w:rsid w:val="0096585C"/>
    <w:rsid w:val="00965DDC"/>
    <w:rsid w:val="00965E08"/>
    <w:rsid w:val="0096620B"/>
    <w:rsid w:val="00966A98"/>
    <w:rsid w:val="00967C45"/>
    <w:rsid w:val="00967FD6"/>
    <w:rsid w:val="009709F1"/>
    <w:rsid w:val="00970F79"/>
    <w:rsid w:val="009718D3"/>
    <w:rsid w:val="00971AC2"/>
    <w:rsid w:val="00971F3A"/>
    <w:rsid w:val="00972630"/>
    <w:rsid w:val="00972CAE"/>
    <w:rsid w:val="00973780"/>
    <w:rsid w:val="00973892"/>
    <w:rsid w:val="009739AA"/>
    <w:rsid w:val="00973A6A"/>
    <w:rsid w:val="00973E58"/>
    <w:rsid w:val="00974024"/>
    <w:rsid w:val="00974105"/>
    <w:rsid w:val="00974178"/>
    <w:rsid w:val="0097596D"/>
    <w:rsid w:val="00975ED1"/>
    <w:rsid w:val="009761E9"/>
    <w:rsid w:val="0097677D"/>
    <w:rsid w:val="00976B2D"/>
    <w:rsid w:val="00976B37"/>
    <w:rsid w:val="0097708A"/>
    <w:rsid w:val="00980A08"/>
    <w:rsid w:val="00980D93"/>
    <w:rsid w:val="00981349"/>
    <w:rsid w:val="0098164F"/>
    <w:rsid w:val="00981746"/>
    <w:rsid w:val="0098181A"/>
    <w:rsid w:val="00981E26"/>
    <w:rsid w:val="00982573"/>
    <w:rsid w:val="0098259A"/>
    <w:rsid w:val="009825D6"/>
    <w:rsid w:val="00982B8A"/>
    <w:rsid w:val="0098317E"/>
    <w:rsid w:val="0098368A"/>
    <w:rsid w:val="00983735"/>
    <w:rsid w:val="00983762"/>
    <w:rsid w:val="009840BB"/>
    <w:rsid w:val="00984997"/>
    <w:rsid w:val="00984D25"/>
    <w:rsid w:val="00985944"/>
    <w:rsid w:val="009864CA"/>
    <w:rsid w:val="00987006"/>
    <w:rsid w:val="00990482"/>
    <w:rsid w:val="009904A6"/>
    <w:rsid w:val="0099075D"/>
    <w:rsid w:val="0099081C"/>
    <w:rsid w:val="00990A28"/>
    <w:rsid w:val="00990CB5"/>
    <w:rsid w:val="00990CBA"/>
    <w:rsid w:val="00990E7F"/>
    <w:rsid w:val="00991040"/>
    <w:rsid w:val="009913BB"/>
    <w:rsid w:val="00991BE4"/>
    <w:rsid w:val="00991CBC"/>
    <w:rsid w:val="00991F3D"/>
    <w:rsid w:val="00992920"/>
    <w:rsid w:val="00992A34"/>
    <w:rsid w:val="0099353D"/>
    <w:rsid w:val="00993DAC"/>
    <w:rsid w:val="00994264"/>
    <w:rsid w:val="00995395"/>
    <w:rsid w:val="009959CA"/>
    <w:rsid w:val="0099606E"/>
    <w:rsid w:val="0099618F"/>
    <w:rsid w:val="009966FE"/>
    <w:rsid w:val="00996807"/>
    <w:rsid w:val="00996ABC"/>
    <w:rsid w:val="00996E40"/>
    <w:rsid w:val="00996EFB"/>
    <w:rsid w:val="00996F86"/>
    <w:rsid w:val="009971B0"/>
    <w:rsid w:val="0099747A"/>
    <w:rsid w:val="0099770F"/>
    <w:rsid w:val="009A0138"/>
    <w:rsid w:val="009A074C"/>
    <w:rsid w:val="009A0C46"/>
    <w:rsid w:val="009A1175"/>
    <w:rsid w:val="009A11D0"/>
    <w:rsid w:val="009A13F1"/>
    <w:rsid w:val="009A1879"/>
    <w:rsid w:val="009A2242"/>
    <w:rsid w:val="009A2302"/>
    <w:rsid w:val="009A2358"/>
    <w:rsid w:val="009A25E0"/>
    <w:rsid w:val="009A271D"/>
    <w:rsid w:val="009A2E12"/>
    <w:rsid w:val="009A3247"/>
    <w:rsid w:val="009A3BA8"/>
    <w:rsid w:val="009A3F8E"/>
    <w:rsid w:val="009A3FEA"/>
    <w:rsid w:val="009A4663"/>
    <w:rsid w:val="009A4C61"/>
    <w:rsid w:val="009A4FAD"/>
    <w:rsid w:val="009A51FD"/>
    <w:rsid w:val="009A60A8"/>
    <w:rsid w:val="009A61AC"/>
    <w:rsid w:val="009A690D"/>
    <w:rsid w:val="009A6B2F"/>
    <w:rsid w:val="009A743A"/>
    <w:rsid w:val="009A74C3"/>
    <w:rsid w:val="009A75D3"/>
    <w:rsid w:val="009A75EA"/>
    <w:rsid w:val="009B025E"/>
    <w:rsid w:val="009B0375"/>
    <w:rsid w:val="009B0A43"/>
    <w:rsid w:val="009B0AD2"/>
    <w:rsid w:val="009B116D"/>
    <w:rsid w:val="009B156B"/>
    <w:rsid w:val="009B21A5"/>
    <w:rsid w:val="009B249E"/>
    <w:rsid w:val="009B2BD0"/>
    <w:rsid w:val="009B2BF2"/>
    <w:rsid w:val="009B2C84"/>
    <w:rsid w:val="009B2DB4"/>
    <w:rsid w:val="009B37A8"/>
    <w:rsid w:val="009B393A"/>
    <w:rsid w:val="009B3AF8"/>
    <w:rsid w:val="009B45BC"/>
    <w:rsid w:val="009B51C5"/>
    <w:rsid w:val="009B56B3"/>
    <w:rsid w:val="009B5F71"/>
    <w:rsid w:val="009B6572"/>
    <w:rsid w:val="009B67CC"/>
    <w:rsid w:val="009B70DE"/>
    <w:rsid w:val="009B741B"/>
    <w:rsid w:val="009B7BF7"/>
    <w:rsid w:val="009B7F22"/>
    <w:rsid w:val="009C00A1"/>
    <w:rsid w:val="009C055F"/>
    <w:rsid w:val="009C13C7"/>
    <w:rsid w:val="009C1A8A"/>
    <w:rsid w:val="009C1C28"/>
    <w:rsid w:val="009C3087"/>
    <w:rsid w:val="009C310D"/>
    <w:rsid w:val="009C31DB"/>
    <w:rsid w:val="009C32F0"/>
    <w:rsid w:val="009C3502"/>
    <w:rsid w:val="009C3D5B"/>
    <w:rsid w:val="009C3E93"/>
    <w:rsid w:val="009C3F97"/>
    <w:rsid w:val="009C476C"/>
    <w:rsid w:val="009C4AF0"/>
    <w:rsid w:val="009C505A"/>
    <w:rsid w:val="009C5EEA"/>
    <w:rsid w:val="009C6433"/>
    <w:rsid w:val="009C79D4"/>
    <w:rsid w:val="009D03AF"/>
    <w:rsid w:val="009D043D"/>
    <w:rsid w:val="009D188F"/>
    <w:rsid w:val="009D2389"/>
    <w:rsid w:val="009D286C"/>
    <w:rsid w:val="009D2E7F"/>
    <w:rsid w:val="009D33CB"/>
    <w:rsid w:val="009D416A"/>
    <w:rsid w:val="009D4A18"/>
    <w:rsid w:val="009D51FA"/>
    <w:rsid w:val="009D523E"/>
    <w:rsid w:val="009D5ABB"/>
    <w:rsid w:val="009D5ADF"/>
    <w:rsid w:val="009D6665"/>
    <w:rsid w:val="009D706B"/>
    <w:rsid w:val="009D75F4"/>
    <w:rsid w:val="009D7610"/>
    <w:rsid w:val="009D763B"/>
    <w:rsid w:val="009E0E48"/>
    <w:rsid w:val="009E0F1D"/>
    <w:rsid w:val="009E17CC"/>
    <w:rsid w:val="009E18DB"/>
    <w:rsid w:val="009E1E69"/>
    <w:rsid w:val="009E2988"/>
    <w:rsid w:val="009E2DD4"/>
    <w:rsid w:val="009E3538"/>
    <w:rsid w:val="009E4257"/>
    <w:rsid w:val="009E4B52"/>
    <w:rsid w:val="009E5114"/>
    <w:rsid w:val="009E53A1"/>
    <w:rsid w:val="009E56C7"/>
    <w:rsid w:val="009E619C"/>
    <w:rsid w:val="009E6C43"/>
    <w:rsid w:val="009E6DC4"/>
    <w:rsid w:val="009E7BF0"/>
    <w:rsid w:val="009E7C86"/>
    <w:rsid w:val="009F03BA"/>
    <w:rsid w:val="009F06D7"/>
    <w:rsid w:val="009F088A"/>
    <w:rsid w:val="009F0B34"/>
    <w:rsid w:val="009F0D42"/>
    <w:rsid w:val="009F133A"/>
    <w:rsid w:val="009F1386"/>
    <w:rsid w:val="009F13FC"/>
    <w:rsid w:val="009F1873"/>
    <w:rsid w:val="009F1CFC"/>
    <w:rsid w:val="009F26C0"/>
    <w:rsid w:val="009F26EE"/>
    <w:rsid w:val="009F271D"/>
    <w:rsid w:val="009F2A85"/>
    <w:rsid w:val="009F2C91"/>
    <w:rsid w:val="009F3949"/>
    <w:rsid w:val="009F3CD1"/>
    <w:rsid w:val="009F3CEF"/>
    <w:rsid w:val="009F4171"/>
    <w:rsid w:val="009F436C"/>
    <w:rsid w:val="009F471D"/>
    <w:rsid w:val="009F4E69"/>
    <w:rsid w:val="009F4EB3"/>
    <w:rsid w:val="009F52A1"/>
    <w:rsid w:val="009F55B7"/>
    <w:rsid w:val="009F588B"/>
    <w:rsid w:val="009F6069"/>
    <w:rsid w:val="009F611E"/>
    <w:rsid w:val="009F62AB"/>
    <w:rsid w:val="009F6C3D"/>
    <w:rsid w:val="009F6EB0"/>
    <w:rsid w:val="009F797A"/>
    <w:rsid w:val="009F7B96"/>
    <w:rsid w:val="009F7CC4"/>
    <w:rsid w:val="00A00C0B"/>
    <w:rsid w:val="00A0129F"/>
    <w:rsid w:val="00A012BC"/>
    <w:rsid w:val="00A01CC3"/>
    <w:rsid w:val="00A01DF0"/>
    <w:rsid w:val="00A01EBB"/>
    <w:rsid w:val="00A026E7"/>
    <w:rsid w:val="00A03578"/>
    <w:rsid w:val="00A04219"/>
    <w:rsid w:val="00A04771"/>
    <w:rsid w:val="00A04A3E"/>
    <w:rsid w:val="00A04E22"/>
    <w:rsid w:val="00A0575F"/>
    <w:rsid w:val="00A05D39"/>
    <w:rsid w:val="00A05FA6"/>
    <w:rsid w:val="00A060DD"/>
    <w:rsid w:val="00A064AB"/>
    <w:rsid w:val="00A06916"/>
    <w:rsid w:val="00A06F16"/>
    <w:rsid w:val="00A076DB"/>
    <w:rsid w:val="00A07F9F"/>
    <w:rsid w:val="00A100E9"/>
    <w:rsid w:val="00A10835"/>
    <w:rsid w:val="00A10F48"/>
    <w:rsid w:val="00A110AE"/>
    <w:rsid w:val="00A111DF"/>
    <w:rsid w:val="00A1136E"/>
    <w:rsid w:val="00A11857"/>
    <w:rsid w:val="00A11B7D"/>
    <w:rsid w:val="00A11F5E"/>
    <w:rsid w:val="00A122F5"/>
    <w:rsid w:val="00A124BE"/>
    <w:rsid w:val="00A12875"/>
    <w:rsid w:val="00A1302F"/>
    <w:rsid w:val="00A1366C"/>
    <w:rsid w:val="00A137BE"/>
    <w:rsid w:val="00A1426B"/>
    <w:rsid w:val="00A14466"/>
    <w:rsid w:val="00A14807"/>
    <w:rsid w:val="00A148B1"/>
    <w:rsid w:val="00A15A7F"/>
    <w:rsid w:val="00A15C03"/>
    <w:rsid w:val="00A15CAA"/>
    <w:rsid w:val="00A15CC2"/>
    <w:rsid w:val="00A15E6E"/>
    <w:rsid w:val="00A16346"/>
    <w:rsid w:val="00A1683A"/>
    <w:rsid w:val="00A20708"/>
    <w:rsid w:val="00A20901"/>
    <w:rsid w:val="00A20A37"/>
    <w:rsid w:val="00A20BE0"/>
    <w:rsid w:val="00A212A6"/>
    <w:rsid w:val="00A2223C"/>
    <w:rsid w:val="00A2273B"/>
    <w:rsid w:val="00A229F0"/>
    <w:rsid w:val="00A22AC7"/>
    <w:rsid w:val="00A22D26"/>
    <w:rsid w:val="00A22E91"/>
    <w:rsid w:val="00A2313C"/>
    <w:rsid w:val="00A235B1"/>
    <w:rsid w:val="00A23C2A"/>
    <w:rsid w:val="00A23CFB"/>
    <w:rsid w:val="00A23E8C"/>
    <w:rsid w:val="00A24046"/>
    <w:rsid w:val="00A256DD"/>
    <w:rsid w:val="00A25B1B"/>
    <w:rsid w:val="00A26199"/>
    <w:rsid w:val="00A26AEE"/>
    <w:rsid w:val="00A26BCC"/>
    <w:rsid w:val="00A27369"/>
    <w:rsid w:val="00A275D0"/>
    <w:rsid w:val="00A27F85"/>
    <w:rsid w:val="00A3032A"/>
    <w:rsid w:val="00A30579"/>
    <w:rsid w:val="00A30978"/>
    <w:rsid w:val="00A3155E"/>
    <w:rsid w:val="00A31A5F"/>
    <w:rsid w:val="00A3210F"/>
    <w:rsid w:val="00A3217E"/>
    <w:rsid w:val="00A32CAC"/>
    <w:rsid w:val="00A3316B"/>
    <w:rsid w:val="00A3359B"/>
    <w:rsid w:val="00A338FC"/>
    <w:rsid w:val="00A33E1D"/>
    <w:rsid w:val="00A34341"/>
    <w:rsid w:val="00A344E8"/>
    <w:rsid w:val="00A34BCC"/>
    <w:rsid w:val="00A34FB8"/>
    <w:rsid w:val="00A35D4F"/>
    <w:rsid w:val="00A363F1"/>
    <w:rsid w:val="00A3641C"/>
    <w:rsid w:val="00A36491"/>
    <w:rsid w:val="00A3649F"/>
    <w:rsid w:val="00A36B4A"/>
    <w:rsid w:val="00A36C71"/>
    <w:rsid w:val="00A36CCC"/>
    <w:rsid w:val="00A36CFE"/>
    <w:rsid w:val="00A40069"/>
    <w:rsid w:val="00A40375"/>
    <w:rsid w:val="00A40446"/>
    <w:rsid w:val="00A409BA"/>
    <w:rsid w:val="00A40CB6"/>
    <w:rsid w:val="00A4107F"/>
    <w:rsid w:val="00A416B4"/>
    <w:rsid w:val="00A4172C"/>
    <w:rsid w:val="00A4184F"/>
    <w:rsid w:val="00A41D33"/>
    <w:rsid w:val="00A41F73"/>
    <w:rsid w:val="00A42121"/>
    <w:rsid w:val="00A4253F"/>
    <w:rsid w:val="00A43462"/>
    <w:rsid w:val="00A4392D"/>
    <w:rsid w:val="00A45946"/>
    <w:rsid w:val="00A46260"/>
    <w:rsid w:val="00A4639C"/>
    <w:rsid w:val="00A4677D"/>
    <w:rsid w:val="00A46F9E"/>
    <w:rsid w:val="00A4714E"/>
    <w:rsid w:val="00A4726A"/>
    <w:rsid w:val="00A47A35"/>
    <w:rsid w:val="00A47C58"/>
    <w:rsid w:val="00A47F78"/>
    <w:rsid w:val="00A50D1B"/>
    <w:rsid w:val="00A50E8E"/>
    <w:rsid w:val="00A51AA5"/>
    <w:rsid w:val="00A52032"/>
    <w:rsid w:val="00A526E9"/>
    <w:rsid w:val="00A52D80"/>
    <w:rsid w:val="00A531B9"/>
    <w:rsid w:val="00A54109"/>
    <w:rsid w:val="00A541B3"/>
    <w:rsid w:val="00A54AF9"/>
    <w:rsid w:val="00A54C74"/>
    <w:rsid w:val="00A54F09"/>
    <w:rsid w:val="00A550A0"/>
    <w:rsid w:val="00A55275"/>
    <w:rsid w:val="00A554C2"/>
    <w:rsid w:val="00A554C7"/>
    <w:rsid w:val="00A5594C"/>
    <w:rsid w:val="00A569D4"/>
    <w:rsid w:val="00A571BB"/>
    <w:rsid w:val="00A57529"/>
    <w:rsid w:val="00A57ACD"/>
    <w:rsid w:val="00A57B6D"/>
    <w:rsid w:val="00A60571"/>
    <w:rsid w:val="00A607FB"/>
    <w:rsid w:val="00A6088B"/>
    <w:rsid w:val="00A6161D"/>
    <w:rsid w:val="00A6186E"/>
    <w:rsid w:val="00A626D7"/>
    <w:rsid w:val="00A62A3B"/>
    <w:rsid w:val="00A62AFB"/>
    <w:rsid w:val="00A6321A"/>
    <w:rsid w:val="00A633C2"/>
    <w:rsid w:val="00A63522"/>
    <w:rsid w:val="00A63600"/>
    <w:rsid w:val="00A63682"/>
    <w:rsid w:val="00A636F2"/>
    <w:rsid w:val="00A63AFA"/>
    <w:rsid w:val="00A63F00"/>
    <w:rsid w:val="00A64128"/>
    <w:rsid w:val="00A64484"/>
    <w:rsid w:val="00A64827"/>
    <w:rsid w:val="00A64DE6"/>
    <w:rsid w:val="00A65D37"/>
    <w:rsid w:val="00A673B6"/>
    <w:rsid w:val="00A673F2"/>
    <w:rsid w:val="00A679DF"/>
    <w:rsid w:val="00A67D91"/>
    <w:rsid w:val="00A701BB"/>
    <w:rsid w:val="00A701D0"/>
    <w:rsid w:val="00A7079C"/>
    <w:rsid w:val="00A70DF5"/>
    <w:rsid w:val="00A71910"/>
    <w:rsid w:val="00A71AB1"/>
    <w:rsid w:val="00A71D60"/>
    <w:rsid w:val="00A72334"/>
    <w:rsid w:val="00A72D04"/>
    <w:rsid w:val="00A7340B"/>
    <w:rsid w:val="00A7342C"/>
    <w:rsid w:val="00A73BDD"/>
    <w:rsid w:val="00A73DE7"/>
    <w:rsid w:val="00A74436"/>
    <w:rsid w:val="00A744FC"/>
    <w:rsid w:val="00A74564"/>
    <w:rsid w:val="00A746B5"/>
    <w:rsid w:val="00A74957"/>
    <w:rsid w:val="00A74D0A"/>
    <w:rsid w:val="00A74EEE"/>
    <w:rsid w:val="00A75563"/>
    <w:rsid w:val="00A75E24"/>
    <w:rsid w:val="00A76490"/>
    <w:rsid w:val="00A76601"/>
    <w:rsid w:val="00A76AFC"/>
    <w:rsid w:val="00A76D9F"/>
    <w:rsid w:val="00A77E68"/>
    <w:rsid w:val="00A77E92"/>
    <w:rsid w:val="00A80483"/>
    <w:rsid w:val="00A80A1F"/>
    <w:rsid w:val="00A80E63"/>
    <w:rsid w:val="00A8173E"/>
    <w:rsid w:val="00A81755"/>
    <w:rsid w:val="00A81A36"/>
    <w:rsid w:val="00A81B96"/>
    <w:rsid w:val="00A82249"/>
    <w:rsid w:val="00A828D9"/>
    <w:rsid w:val="00A82A38"/>
    <w:rsid w:val="00A82DA2"/>
    <w:rsid w:val="00A83411"/>
    <w:rsid w:val="00A841C0"/>
    <w:rsid w:val="00A8425F"/>
    <w:rsid w:val="00A8434E"/>
    <w:rsid w:val="00A843EE"/>
    <w:rsid w:val="00A84B22"/>
    <w:rsid w:val="00A851D4"/>
    <w:rsid w:val="00A85329"/>
    <w:rsid w:val="00A857A8"/>
    <w:rsid w:val="00A85891"/>
    <w:rsid w:val="00A85D6B"/>
    <w:rsid w:val="00A8614B"/>
    <w:rsid w:val="00A86378"/>
    <w:rsid w:val="00A87C00"/>
    <w:rsid w:val="00A87E7F"/>
    <w:rsid w:val="00A9015D"/>
    <w:rsid w:val="00A903E0"/>
    <w:rsid w:val="00A90B2C"/>
    <w:rsid w:val="00A91253"/>
    <w:rsid w:val="00A92268"/>
    <w:rsid w:val="00A92911"/>
    <w:rsid w:val="00A9292C"/>
    <w:rsid w:val="00A92BD3"/>
    <w:rsid w:val="00A92EB4"/>
    <w:rsid w:val="00A93067"/>
    <w:rsid w:val="00A93389"/>
    <w:rsid w:val="00A93630"/>
    <w:rsid w:val="00A93B75"/>
    <w:rsid w:val="00A94244"/>
    <w:rsid w:val="00A94E79"/>
    <w:rsid w:val="00A94EBD"/>
    <w:rsid w:val="00A9500D"/>
    <w:rsid w:val="00A9557E"/>
    <w:rsid w:val="00A95C0D"/>
    <w:rsid w:val="00A968D7"/>
    <w:rsid w:val="00A96ACF"/>
    <w:rsid w:val="00A96B9C"/>
    <w:rsid w:val="00A97728"/>
    <w:rsid w:val="00A977BD"/>
    <w:rsid w:val="00A97AFA"/>
    <w:rsid w:val="00AA05B2"/>
    <w:rsid w:val="00AA1284"/>
    <w:rsid w:val="00AA1B0B"/>
    <w:rsid w:val="00AA1C46"/>
    <w:rsid w:val="00AA1DAF"/>
    <w:rsid w:val="00AA28AC"/>
    <w:rsid w:val="00AA2B1E"/>
    <w:rsid w:val="00AA3081"/>
    <w:rsid w:val="00AA34A9"/>
    <w:rsid w:val="00AA4309"/>
    <w:rsid w:val="00AA4E2B"/>
    <w:rsid w:val="00AA4F44"/>
    <w:rsid w:val="00AA4F6F"/>
    <w:rsid w:val="00AA56F6"/>
    <w:rsid w:val="00AA5EC7"/>
    <w:rsid w:val="00AA6850"/>
    <w:rsid w:val="00AA6BBE"/>
    <w:rsid w:val="00AA6DBE"/>
    <w:rsid w:val="00AA6DDE"/>
    <w:rsid w:val="00AA71B6"/>
    <w:rsid w:val="00AA72D0"/>
    <w:rsid w:val="00AA756E"/>
    <w:rsid w:val="00AB087C"/>
    <w:rsid w:val="00AB0EB4"/>
    <w:rsid w:val="00AB15B3"/>
    <w:rsid w:val="00AB1888"/>
    <w:rsid w:val="00AB1D35"/>
    <w:rsid w:val="00AB33EF"/>
    <w:rsid w:val="00AB3604"/>
    <w:rsid w:val="00AB39BD"/>
    <w:rsid w:val="00AB47BA"/>
    <w:rsid w:val="00AB4889"/>
    <w:rsid w:val="00AB48F9"/>
    <w:rsid w:val="00AB4BCF"/>
    <w:rsid w:val="00AB50BF"/>
    <w:rsid w:val="00AB5218"/>
    <w:rsid w:val="00AB5D4B"/>
    <w:rsid w:val="00AB6609"/>
    <w:rsid w:val="00AB72C2"/>
    <w:rsid w:val="00AB7741"/>
    <w:rsid w:val="00AC1597"/>
    <w:rsid w:val="00AC17F7"/>
    <w:rsid w:val="00AC189C"/>
    <w:rsid w:val="00AC1DB2"/>
    <w:rsid w:val="00AC2530"/>
    <w:rsid w:val="00AC2A34"/>
    <w:rsid w:val="00AC2E90"/>
    <w:rsid w:val="00AC2EC8"/>
    <w:rsid w:val="00AC3252"/>
    <w:rsid w:val="00AC3F5F"/>
    <w:rsid w:val="00AC403A"/>
    <w:rsid w:val="00AC45D9"/>
    <w:rsid w:val="00AC4BBE"/>
    <w:rsid w:val="00AC4C00"/>
    <w:rsid w:val="00AC4FFB"/>
    <w:rsid w:val="00AC513D"/>
    <w:rsid w:val="00AC59D4"/>
    <w:rsid w:val="00AC5BB0"/>
    <w:rsid w:val="00AC5CC5"/>
    <w:rsid w:val="00AC5ED3"/>
    <w:rsid w:val="00AC6632"/>
    <w:rsid w:val="00AC681C"/>
    <w:rsid w:val="00AC6EA1"/>
    <w:rsid w:val="00AC791E"/>
    <w:rsid w:val="00AC7AFB"/>
    <w:rsid w:val="00AD00C7"/>
    <w:rsid w:val="00AD0196"/>
    <w:rsid w:val="00AD1202"/>
    <w:rsid w:val="00AD2EDA"/>
    <w:rsid w:val="00AD37B4"/>
    <w:rsid w:val="00AD3C46"/>
    <w:rsid w:val="00AD3CB1"/>
    <w:rsid w:val="00AD3EFD"/>
    <w:rsid w:val="00AD4745"/>
    <w:rsid w:val="00AD4CC9"/>
    <w:rsid w:val="00AD4D7A"/>
    <w:rsid w:val="00AD5052"/>
    <w:rsid w:val="00AD53F9"/>
    <w:rsid w:val="00AD5502"/>
    <w:rsid w:val="00AD5AFA"/>
    <w:rsid w:val="00AD5C7E"/>
    <w:rsid w:val="00AD6F70"/>
    <w:rsid w:val="00AD6FFA"/>
    <w:rsid w:val="00AD70E8"/>
    <w:rsid w:val="00AD718D"/>
    <w:rsid w:val="00AD724A"/>
    <w:rsid w:val="00AD7B82"/>
    <w:rsid w:val="00AE057C"/>
    <w:rsid w:val="00AE0C32"/>
    <w:rsid w:val="00AE1267"/>
    <w:rsid w:val="00AE12CB"/>
    <w:rsid w:val="00AE1B74"/>
    <w:rsid w:val="00AE1F5E"/>
    <w:rsid w:val="00AE1F60"/>
    <w:rsid w:val="00AE21AD"/>
    <w:rsid w:val="00AE2209"/>
    <w:rsid w:val="00AE22AC"/>
    <w:rsid w:val="00AE24EA"/>
    <w:rsid w:val="00AE388C"/>
    <w:rsid w:val="00AE3B44"/>
    <w:rsid w:val="00AE48C0"/>
    <w:rsid w:val="00AE4BEE"/>
    <w:rsid w:val="00AE4FB2"/>
    <w:rsid w:val="00AE5321"/>
    <w:rsid w:val="00AE53F6"/>
    <w:rsid w:val="00AE5D5D"/>
    <w:rsid w:val="00AE697A"/>
    <w:rsid w:val="00AF0856"/>
    <w:rsid w:val="00AF0B5E"/>
    <w:rsid w:val="00AF0BAF"/>
    <w:rsid w:val="00AF156F"/>
    <w:rsid w:val="00AF1C0E"/>
    <w:rsid w:val="00AF1D39"/>
    <w:rsid w:val="00AF263B"/>
    <w:rsid w:val="00AF29B4"/>
    <w:rsid w:val="00AF2F40"/>
    <w:rsid w:val="00AF2F76"/>
    <w:rsid w:val="00AF3113"/>
    <w:rsid w:val="00AF31C3"/>
    <w:rsid w:val="00AF3549"/>
    <w:rsid w:val="00AF3792"/>
    <w:rsid w:val="00AF38E5"/>
    <w:rsid w:val="00AF3CF8"/>
    <w:rsid w:val="00AF4286"/>
    <w:rsid w:val="00AF4DD4"/>
    <w:rsid w:val="00AF5D6D"/>
    <w:rsid w:val="00AF651E"/>
    <w:rsid w:val="00AF7B4D"/>
    <w:rsid w:val="00AF7D62"/>
    <w:rsid w:val="00AF7E3E"/>
    <w:rsid w:val="00AF7E8E"/>
    <w:rsid w:val="00AF7F05"/>
    <w:rsid w:val="00B000E8"/>
    <w:rsid w:val="00B0011A"/>
    <w:rsid w:val="00B00555"/>
    <w:rsid w:val="00B007A7"/>
    <w:rsid w:val="00B007AB"/>
    <w:rsid w:val="00B0080E"/>
    <w:rsid w:val="00B00AEE"/>
    <w:rsid w:val="00B0129D"/>
    <w:rsid w:val="00B01561"/>
    <w:rsid w:val="00B02187"/>
    <w:rsid w:val="00B02595"/>
    <w:rsid w:val="00B03C24"/>
    <w:rsid w:val="00B04894"/>
    <w:rsid w:val="00B04915"/>
    <w:rsid w:val="00B05AD0"/>
    <w:rsid w:val="00B05DEB"/>
    <w:rsid w:val="00B06985"/>
    <w:rsid w:val="00B069A7"/>
    <w:rsid w:val="00B06C0C"/>
    <w:rsid w:val="00B06CD5"/>
    <w:rsid w:val="00B06E2E"/>
    <w:rsid w:val="00B0783F"/>
    <w:rsid w:val="00B0786F"/>
    <w:rsid w:val="00B07CB4"/>
    <w:rsid w:val="00B1036C"/>
    <w:rsid w:val="00B118DB"/>
    <w:rsid w:val="00B11C7B"/>
    <w:rsid w:val="00B11EC0"/>
    <w:rsid w:val="00B12B5E"/>
    <w:rsid w:val="00B130D4"/>
    <w:rsid w:val="00B13690"/>
    <w:rsid w:val="00B137D6"/>
    <w:rsid w:val="00B13BA4"/>
    <w:rsid w:val="00B13CCA"/>
    <w:rsid w:val="00B146B2"/>
    <w:rsid w:val="00B14EE1"/>
    <w:rsid w:val="00B151EE"/>
    <w:rsid w:val="00B15648"/>
    <w:rsid w:val="00B15A0C"/>
    <w:rsid w:val="00B15B0B"/>
    <w:rsid w:val="00B15D1C"/>
    <w:rsid w:val="00B16AD5"/>
    <w:rsid w:val="00B175A9"/>
    <w:rsid w:val="00B201AE"/>
    <w:rsid w:val="00B20B6C"/>
    <w:rsid w:val="00B21560"/>
    <w:rsid w:val="00B21B1E"/>
    <w:rsid w:val="00B21CCA"/>
    <w:rsid w:val="00B22E42"/>
    <w:rsid w:val="00B22FA4"/>
    <w:rsid w:val="00B237D1"/>
    <w:rsid w:val="00B23BB4"/>
    <w:rsid w:val="00B23F0D"/>
    <w:rsid w:val="00B24423"/>
    <w:rsid w:val="00B24E4F"/>
    <w:rsid w:val="00B25940"/>
    <w:rsid w:val="00B25BE9"/>
    <w:rsid w:val="00B2666B"/>
    <w:rsid w:val="00B275D1"/>
    <w:rsid w:val="00B279B1"/>
    <w:rsid w:val="00B27D6B"/>
    <w:rsid w:val="00B30040"/>
    <w:rsid w:val="00B30319"/>
    <w:rsid w:val="00B303C2"/>
    <w:rsid w:val="00B309ED"/>
    <w:rsid w:val="00B30F70"/>
    <w:rsid w:val="00B314D2"/>
    <w:rsid w:val="00B31741"/>
    <w:rsid w:val="00B31C0A"/>
    <w:rsid w:val="00B31D06"/>
    <w:rsid w:val="00B320D9"/>
    <w:rsid w:val="00B323EB"/>
    <w:rsid w:val="00B32DE4"/>
    <w:rsid w:val="00B3335C"/>
    <w:rsid w:val="00B33655"/>
    <w:rsid w:val="00B34079"/>
    <w:rsid w:val="00B3416F"/>
    <w:rsid w:val="00B350FB"/>
    <w:rsid w:val="00B3512C"/>
    <w:rsid w:val="00B3595F"/>
    <w:rsid w:val="00B35F2F"/>
    <w:rsid w:val="00B360F6"/>
    <w:rsid w:val="00B369FF"/>
    <w:rsid w:val="00B36EE5"/>
    <w:rsid w:val="00B374CA"/>
    <w:rsid w:val="00B37760"/>
    <w:rsid w:val="00B37A6B"/>
    <w:rsid w:val="00B37D73"/>
    <w:rsid w:val="00B40542"/>
    <w:rsid w:val="00B424A1"/>
    <w:rsid w:val="00B438E8"/>
    <w:rsid w:val="00B43AF4"/>
    <w:rsid w:val="00B441BF"/>
    <w:rsid w:val="00B4499E"/>
    <w:rsid w:val="00B45252"/>
    <w:rsid w:val="00B45A49"/>
    <w:rsid w:val="00B462DB"/>
    <w:rsid w:val="00B46864"/>
    <w:rsid w:val="00B46D5B"/>
    <w:rsid w:val="00B47DA3"/>
    <w:rsid w:val="00B502CE"/>
    <w:rsid w:val="00B508A7"/>
    <w:rsid w:val="00B50FEC"/>
    <w:rsid w:val="00B5101D"/>
    <w:rsid w:val="00B5150B"/>
    <w:rsid w:val="00B51741"/>
    <w:rsid w:val="00B51C66"/>
    <w:rsid w:val="00B51CF2"/>
    <w:rsid w:val="00B51E0F"/>
    <w:rsid w:val="00B528B4"/>
    <w:rsid w:val="00B52A04"/>
    <w:rsid w:val="00B52B04"/>
    <w:rsid w:val="00B53196"/>
    <w:rsid w:val="00B5326B"/>
    <w:rsid w:val="00B53290"/>
    <w:rsid w:val="00B533B8"/>
    <w:rsid w:val="00B536EC"/>
    <w:rsid w:val="00B537FB"/>
    <w:rsid w:val="00B53966"/>
    <w:rsid w:val="00B55442"/>
    <w:rsid w:val="00B55EA8"/>
    <w:rsid w:val="00B56082"/>
    <w:rsid w:val="00B572BD"/>
    <w:rsid w:val="00B572F3"/>
    <w:rsid w:val="00B57F35"/>
    <w:rsid w:val="00B60175"/>
    <w:rsid w:val="00B60237"/>
    <w:rsid w:val="00B60392"/>
    <w:rsid w:val="00B605BD"/>
    <w:rsid w:val="00B60728"/>
    <w:rsid w:val="00B609F4"/>
    <w:rsid w:val="00B60BCB"/>
    <w:rsid w:val="00B62EF4"/>
    <w:rsid w:val="00B64E25"/>
    <w:rsid w:val="00B659CC"/>
    <w:rsid w:val="00B665D4"/>
    <w:rsid w:val="00B66764"/>
    <w:rsid w:val="00B668E7"/>
    <w:rsid w:val="00B67189"/>
    <w:rsid w:val="00B6720A"/>
    <w:rsid w:val="00B67585"/>
    <w:rsid w:val="00B67869"/>
    <w:rsid w:val="00B67A73"/>
    <w:rsid w:val="00B67E4A"/>
    <w:rsid w:val="00B7064B"/>
    <w:rsid w:val="00B70697"/>
    <w:rsid w:val="00B70711"/>
    <w:rsid w:val="00B70741"/>
    <w:rsid w:val="00B71204"/>
    <w:rsid w:val="00B719F0"/>
    <w:rsid w:val="00B71F07"/>
    <w:rsid w:val="00B71FFE"/>
    <w:rsid w:val="00B72056"/>
    <w:rsid w:val="00B724C4"/>
    <w:rsid w:val="00B72BD4"/>
    <w:rsid w:val="00B72E4D"/>
    <w:rsid w:val="00B72EAA"/>
    <w:rsid w:val="00B7324F"/>
    <w:rsid w:val="00B73A1C"/>
    <w:rsid w:val="00B73B1C"/>
    <w:rsid w:val="00B73B6B"/>
    <w:rsid w:val="00B74023"/>
    <w:rsid w:val="00B74323"/>
    <w:rsid w:val="00B74D88"/>
    <w:rsid w:val="00B75122"/>
    <w:rsid w:val="00B75240"/>
    <w:rsid w:val="00B76183"/>
    <w:rsid w:val="00B766F8"/>
    <w:rsid w:val="00B76773"/>
    <w:rsid w:val="00B76817"/>
    <w:rsid w:val="00B76DD4"/>
    <w:rsid w:val="00B77F00"/>
    <w:rsid w:val="00B804B6"/>
    <w:rsid w:val="00B807DC"/>
    <w:rsid w:val="00B80D7D"/>
    <w:rsid w:val="00B80E69"/>
    <w:rsid w:val="00B81C6F"/>
    <w:rsid w:val="00B81F25"/>
    <w:rsid w:val="00B820E9"/>
    <w:rsid w:val="00B823DE"/>
    <w:rsid w:val="00B82507"/>
    <w:rsid w:val="00B8277F"/>
    <w:rsid w:val="00B82ABD"/>
    <w:rsid w:val="00B8375A"/>
    <w:rsid w:val="00B8383F"/>
    <w:rsid w:val="00B8412D"/>
    <w:rsid w:val="00B84757"/>
    <w:rsid w:val="00B84965"/>
    <w:rsid w:val="00B84FE1"/>
    <w:rsid w:val="00B85185"/>
    <w:rsid w:val="00B856A5"/>
    <w:rsid w:val="00B85C32"/>
    <w:rsid w:val="00B860D9"/>
    <w:rsid w:val="00B87622"/>
    <w:rsid w:val="00B876DC"/>
    <w:rsid w:val="00B9077A"/>
    <w:rsid w:val="00B90857"/>
    <w:rsid w:val="00B90BAD"/>
    <w:rsid w:val="00B90D5F"/>
    <w:rsid w:val="00B9191F"/>
    <w:rsid w:val="00B91AC1"/>
    <w:rsid w:val="00B91B7E"/>
    <w:rsid w:val="00B92D5C"/>
    <w:rsid w:val="00B92E3E"/>
    <w:rsid w:val="00B93099"/>
    <w:rsid w:val="00B93311"/>
    <w:rsid w:val="00B93346"/>
    <w:rsid w:val="00B93BF3"/>
    <w:rsid w:val="00B94CB4"/>
    <w:rsid w:val="00B94E90"/>
    <w:rsid w:val="00B953FD"/>
    <w:rsid w:val="00B956E8"/>
    <w:rsid w:val="00B958B9"/>
    <w:rsid w:val="00B95F70"/>
    <w:rsid w:val="00B9746A"/>
    <w:rsid w:val="00B97DB3"/>
    <w:rsid w:val="00BA010A"/>
    <w:rsid w:val="00BA05AB"/>
    <w:rsid w:val="00BA063C"/>
    <w:rsid w:val="00BA08A1"/>
    <w:rsid w:val="00BA08AD"/>
    <w:rsid w:val="00BA0D85"/>
    <w:rsid w:val="00BA1531"/>
    <w:rsid w:val="00BA179A"/>
    <w:rsid w:val="00BA1898"/>
    <w:rsid w:val="00BA1B56"/>
    <w:rsid w:val="00BA1DDE"/>
    <w:rsid w:val="00BA2270"/>
    <w:rsid w:val="00BA29A8"/>
    <w:rsid w:val="00BA2E7D"/>
    <w:rsid w:val="00BA3198"/>
    <w:rsid w:val="00BA345B"/>
    <w:rsid w:val="00BA366E"/>
    <w:rsid w:val="00BA37DF"/>
    <w:rsid w:val="00BA39AF"/>
    <w:rsid w:val="00BA3E5F"/>
    <w:rsid w:val="00BA4F74"/>
    <w:rsid w:val="00BA53B9"/>
    <w:rsid w:val="00BA60EA"/>
    <w:rsid w:val="00BA6766"/>
    <w:rsid w:val="00BA7929"/>
    <w:rsid w:val="00BB05C7"/>
    <w:rsid w:val="00BB06E0"/>
    <w:rsid w:val="00BB0E8B"/>
    <w:rsid w:val="00BB151A"/>
    <w:rsid w:val="00BB16B7"/>
    <w:rsid w:val="00BB19B0"/>
    <w:rsid w:val="00BB1E8D"/>
    <w:rsid w:val="00BB26E2"/>
    <w:rsid w:val="00BB2B9F"/>
    <w:rsid w:val="00BB36E0"/>
    <w:rsid w:val="00BB392F"/>
    <w:rsid w:val="00BB5051"/>
    <w:rsid w:val="00BB5743"/>
    <w:rsid w:val="00BB5846"/>
    <w:rsid w:val="00BB6583"/>
    <w:rsid w:val="00BB65E0"/>
    <w:rsid w:val="00BB6CFA"/>
    <w:rsid w:val="00BB6E1F"/>
    <w:rsid w:val="00BB6E86"/>
    <w:rsid w:val="00BC031A"/>
    <w:rsid w:val="00BC0D22"/>
    <w:rsid w:val="00BC11C7"/>
    <w:rsid w:val="00BC1286"/>
    <w:rsid w:val="00BC1AEF"/>
    <w:rsid w:val="00BC1CD0"/>
    <w:rsid w:val="00BC2772"/>
    <w:rsid w:val="00BC2F3E"/>
    <w:rsid w:val="00BC3508"/>
    <w:rsid w:val="00BC3AA9"/>
    <w:rsid w:val="00BC3AC2"/>
    <w:rsid w:val="00BC3F67"/>
    <w:rsid w:val="00BC4109"/>
    <w:rsid w:val="00BC4611"/>
    <w:rsid w:val="00BC4BDB"/>
    <w:rsid w:val="00BC5552"/>
    <w:rsid w:val="00BC606A"/>
    <w:rsid w:val="00BD0732"/>
    <w:rsid w:val="00BD09F4"/>
    <w:rsid w:val="00BD17BC"/>
    <w:rsid w:val="00BD1AEF"/>
    <w:rsid w:val="00BD1D1B"/>
    <w:rsid w:val="00BD2000"/>
    <w:rsid w:val="00BD22A6"/>
    <w:rsid w:val="00BD25D1"/>
    <w:rsid w:val="00BD2AA5"/>
    <w:rsid w:val="00BD2B70"/>
    <w:rsid w:val="00BD32BB"/>
    <w:rsid w:val="00BD34B2"/>
    <w:rsid w:val="00BD34B4"/>
    <w:rsid w:val="00BD3527"/>
    <w:rsid w:val="00BD3A81"/>
    <w:rsid w:val="00BD3F3F"/>
    <w:rsid w:val="00BD4205"/>
    <w:rsid w:val="00BD4A96"/>
    <w:rsid w:val="00BD4D03"/>
    <w:rsid w:val="00BD4FC4"/>
    <w:rsid w:val="00BD504C"/>
    <w:rsid w:val="00BD5A12"/>
    <w:rsid w:val="00BD5F23"/>
    <w:rsid w:val="00BD6030"/>
    <w:rsid w:val="00BD6169"/>
    <w:rsid w:val="00BD631F"/>
    <w:rsid w:val="00BD65CC"/>
    <w:rsid w:val="00BD6BD3"/>
    <w:rsid w:val="00BD7267"/>
    <w:rsid w:val="00BD7321"/>
    <w:rsid w:val="00BD7921"/>
    <w:rsid w:val="00BD7C5E"/>
    <w:rsid w:val="00BE1A10"/>
    <w:rsid w:val="00BE1E94"/>
    <w:rsid w:val="00BE2430"/>
    <w:rsid w:val="00BE24E8"/>
    <w:rsid w:val="00BE311F"/>
    <w:rsid w:val="00BE4C5A"/>
    <w:rsid w:val="00BE4EB0"/>
    <w:rsid w:val="00BE50F3"/>
    <w:rsid w:val="00BE50F9"/>
    <w:rsid w:val="00BE64A5"/>
    <w:rsid w:val="00BE6867"/>
    <w:rsid w:val="00BE6B6B"/>
    <w:rsid w:val="00BE6D3E"/>
    <w:rsid w:val="00BE7CBD"/>
    <w:rsid w:val="00BF02EA"/>
    <w:rsid w:val="00BF034F"/>
    <w:rsid w:val="00BF0869"/>
    <w:rsid w:val="00BF148F"/>
    <w:rsid w:val="00BF215D"/>
    <w:rsid w:val="00BF2F78"/>
    <w:rsid w:val="00BF335D"/>
    <w:rsid w:val="00BF4064"/>
    <w:rsid w:val="00BF4797"/>
    <w:rsid w:val="00BF47A9"/>
    <w:rsid w:val="00BF4BFE"/>
    <w:rsid w:val="00BF4FBC"/>
    <w:rsid w:val="00BF5588"/>
    <w:rsid w:val="00BF589A"/>
    <w:rsid w:val="00BF5AFB"/>
    <w:rsid w:val="00BF65AF"/>
    <w:rsid w:val="00BF6C1B"/>
    <w:rsid w:val="00BF7796"/>
    <w:rsid w:val="00BF7C6B"/>
    <w:rsid w:val="00C00103"/>
    <w:rsid w:val="00C001FB"/>
    <w:rsid w:val="00C00588"/>
    <w:rsid w:val="00C00635"/>
    <w:rsid w:val="00C009C3"/>
    <w:rsid w:val="00C00B9C"/>
    <w:rsid w:val="00C00CA4"/>
    <w:rsid w:val="00C01254"/>
    <w:rsid w:val="00C018B3"/>
    <w:rsid w:val="00C01B6B"/>
    <w:rsid w:val="00C02632"/>
    <w:rsid w:val="00C02865"/>
    <w:rsid w:val="00C034FA"/>
    <w:rsid w:val="00C03A54"/>
    <w:rsid w:val="00C03D51"/>
    <w:rsid w:val="00C044DD"/>
    <w:rsid w:val="00C045BE"/>
    <w:rsid w:val="00C04D9A"/>
    <w:rsid w:val="00C05107"/>
    <w:rsid w:val="00C055AD"/>
    <w:rsid w:val="00C05D02"/>
    <w:rsid w:val="00C05D50"/>
    <w:rsid w:val="00C06227"/>
    <w:rsid w:val="00C06620"/>
    <w:rsid w:val="00C06CDE"/>
    <w:rsid w:val="00C06D25"/>
    <w:rsid w:val="00C06F91"/>
    <w:rsid w:val="00C07073"/>
    <w:rsid w:val="00C072C3"/>
    <w:rsid w:val="00C07599"/>
    <w:rsid w:val="00C07929"/>
    <w:rsid w:val="00C07994"/>
    <w:rsid w:val="00C10C11"/>
    <w:rsid w:val="00C10CF8"/>
    <w:rsid w:val="00C10E75"/>
    <w:rsid w:val="00C11215"/>
    <w:rsid w:val="00C11F47"/>
    <w:rsid w:val="00C12A52"/>
    <w:rsid w:val="00C12C0D"/>
    <w:rsid w:val="00C13923"/>
    <w:rsid w:val="00C141A9"/>
    <w:rsid w:val="00C14BBF"/>
    <w:rsid w:val="00C15C11"/>
    <w:rsid w:val="00C15C30"/>
    <w:rsid w:val="00C15C40"/>
    <w:rsid w:val="00C16028"/>
    <w:rsid w:val="00C164BC"/>
    <w:rsid w:val="00C16D8F"/>
    <w:rsid w:val="00C16E6C"/>
    <w:rsid w:val="00C17425"/>
    <w:rsid w:val="00C17921"/>
    <w:rsid w:val="00C1796C"/>
    <w:rsid w:val="00C17D00"/>
    <w:rsid w:val="00C20256"/>
    <w:rsid w:val="00C202E1"/>
    <w:rsid w:val="00C206E1"/>
    <w:rsid w:val="00C21106"/>
    <w:rsid w:val="00C21F4A"/>
    <w:rsid w:val="00C221EF"/>
    <w:rsid w:val="00C222BE"/>
    <w:rsid w:val="00C22419"/>
    <w:rsid w:val="00C229D9"/>
    <w:rsid w:val="00C23402"/>
    <w:rsid w:val="00C23488"/>
    <w:rsid w:val="00C2436C"/>
    <w:rsid w:val="00C25134"/>
    <w:rsid w:val="00C254A1"/>
    <w:rsid w:val="00C2587C"/>
    <w:rsid w:val="00C25BE8"/>
    <w:rsid w:val="00C25F36"/>
    <w:rsid w:val="00C262A6"/>
    <w:rsid w:val="00C262B1"/>
    <w:rsid w:val="00C27360"/>
    <w:rsid w:val="00C27627"/>
    <w:rsid w:val="00C27CA4"/>
    <w:rsid w:val="00C27DB9"/>
    <w:rsid w:val="00C3092D"/>
    <w:rsid w:val="00C317CB"/>
    <w:rsid w:val="00C320A9"/>
    <w:rsid w:val="00C323DA"/>
    <w:rsid w:val="00C32616"/>
    <w:rsid w:val="00C3304A"/>
    <w:rsid w:val="00C33494"/>
    <w:rsid w:val="00C337C5"/>
    <w:rsid w:val="00C339F7"/>
    <w:rsid w:val="00C33B42"/>
    <w:rsid w:val="00C33C39"/>
    <w:rsid w:val="00C33F14"/>
    <w:rsid w:val="00C34442"/>
    <w:rsid w:val="00C34B65"/>
    <w:rsid w:val="00C34D28"/>
    <w:rsid w:val="00C34D5F"/>
    <w:rsid w:val="00C34FCA"/>
    <w:rsid w:val="00C356B9"/>
    <w:rsid w:val="00C35F71"/>
    <w:rsid w:val="00C36090"/>
    <w:rsid w:val="00C36191"/>
    <w:rsid w:val="00C36D0A"/>
    <w:rsid w:val="00C37780"/>
    <w:rsid w:val="00C37E43"/>
    <w:rsid w:val="00C4046B"/>
    <w:rsid w:val="00C4058B"/>
    <w:rsid w:val="00C40998"/>
    <w:rsid w:val="00C40AAE"/>
    <w:rsid w:val="00C41403"/>
    <w:rsid w:val="00C41451"/>
    <w:rsid w:val="00C41791"/>
    <w:rsid w:val="00C418EC"/>
    <w:rsid w:val="00C42901"/>
    <w:rsid w:val="00C42A0C"/>
    <w:rsid w:val="00C42B17"/>
    <w:rsid w:val="00C42C72"/>
    <w:rsid w:val="00C431BD"/>
    <w:rsid w:val="00C434CD"/>
    <w:rsid w:val="00C4355D"/>
    <w:rsid w:val="00C43EC7"/>
    <w:rsid w:val="00C444AF"/>
    <w:rsid w:val="00C445BC"/>
    <w:rsid w:val="00C44619"/>
    <w:rsid w:val="00C4466D"/>
    <w:rsid w:val="00C44AB7"/>
    <w:rsid w:val="00C45B08"/>
    <w:rsid w:val="00C461BE"/>
    <w:rsid w:val="00C464DC"/>
    <w:rsid w:val="00C46E00"/>
    <w:rsid w:val="00C47B0B"/>
    <w:rsid w:val="00C47F8C"/>
    <w:rsid w:val="00C506CA"/>
    <w:rsid w:val="00C5222A"/>
    <w:rsid w:val="00C52398"/>
    <w:rsid w:val="00C524E1"/>
    <w:rsid w:val="00C527A3"/>
    <w:rsid w:val="00C528D3"/>
    <w:rsid w:val="00C5305B"/>
    <w:rsid w:val="00C53141"/>
    <w:rsid w:val="00C539DD"/>
    <w:rsid w:val="00C54204"/>
    <w:rsid w:val="00C54737"/>
    <w:rsid w:val="00C54FA6"/>
    <w:rsid w:val="00C55B09"/>
    <w:rsid w:val="00C56EB9"/>
    <w:rsid w:val="00C5703B"/>
    <w:rsid w:val="00C572E8"/>
    <w:rsid w:val="00C573AF"/>
    <w:rsid w:val="00C5789F"/>
    <w:rsid w:val="00C57D89"/>
    <w:rsid w:val="00C60358"/>
    <w:rsid w:val="00C603EE"/>
    <w:rsid w:val="00C60B40"/>
    <w:rsid w:val="00C60D4E"/>
    <w:rsid w:val="00C6106C"/>
    <w:rsid w:val="00C61AE5"/>
    <w:rsid w:val="00C62633"/>
    <w:rsid w:val="00C62B33"/>
    <w:rsid w:val="00C62EB0"/>
    <w:rsid w:val="00C63690"/>
    <w:rsid w:val="00C63FAD"/>
    <w:rsid w:val="00C645CB"/>
    <w:rsid w:val="00C646E7"/>
    <w:rsid w:val="00C64809"/>
    <w:rsid w:val="00C64974"/>
    <w:rsid w:val="00C64A48"/>
    <w:rsid w:val="00C64F7E"/>
    <w:rsid w:val="00C65951"/>
    <w:rsid w:val="00C65A70"/>
    <w:rsid w:val="00C66029"/>
    <w:rsid w:val="00C664CF"/>
    <w:rsid w:val="00C667AD"/>
    <w:rsid w:val="00C66B90"/>
    <w:rsid w:val="00C66FD1"/>
    <w:rsid w:val="00C670E8"/>
    <w:rsid w:val="00C673A5"/>
    <w:rsid w:val="00C67407"/>
    <w:rsid w:val="00C67684"/>
    <w:rsid w:val="00C67D12"/>
    <w:rsid w:val="00C67DA9"/>
    <w:rsid w:val="00C67DCB"/>
    <w:rsid w:val="00C70458"/>
    <w:rsid w:val="00C706B0"/>
    <w:rsid w:val="00C70780"/>
    <w:rsid w:val="00C71FF2"/>
    <w:rsid w:val="00C728B2"/>
    <w:rsid w:val="00C72AAF"/>
    <w:rsid w:val="00C72AB3"/>
    <w:rsid w:val="00C72AE6"/>
    <w:rsid w:val="00C72F58"/>
    <w:rsid w:val="00C73412"/>
    <w:rsid w:val="00C73479"/>
    <w:rsid w:val="00C73D49"/>
    <w:rsid w:val="00C73EEE"/>
    <w:rsid w:val="00C742B0"/>
    <w:rsid w:val="00C74609"/>
    <w:rsid w:val="00C75283"/>
    <w:rsid w:val="00C75348"/>
    <w:rsid w:val="00C75ACD"/>
    <w:rsid w:val="00C76B33"/>
    <w:rsid w:val="00C76D04"/>
    <w:rsid w:val="00C76FEB"/>
    <w:rsid w:val="00C7734A"/>
    <w:rsid w:val="00C7781E"/>
    <w:rsid w:val="00C77860"/>
    <w:rsid w:val="00C77877"/>
    <w:rsid w:val="00C77E97"/>
    <w:rsid w:val="00C800C0"/>
    <w:rsid w:val="00C80379"/>
    <w:rsid w:val="00C80F90"/>
    <w:rsid w:val="00C81389"/>
    <w:rsid w:val="00C81B12"/>
    <w:rsid w:val="00C8210F"/>
    <w:rsid w:val="00C825D9"/>
    <w:rsid w:val="00C82EBD"/>
    <w:rsid w:val="00C830C8"/>
    <w:rsid w:val="00C83DBD"/>
    <w:rsid w:val="00C84288"/>
    <w:rsid w:val="00C84959"/>
    <w:rsid w:val="00C84BE8"/>
    <w:rsid w:val="00C85A2D"/>
    <w:rsid w:val="00C86229"/>
    <w:rsid w:val="00C86924"/>
    <w:rsid w:val="00C87038"/>
    <w:rsid w:val="00C8764F"/>
    <w:rsid w:val="00C90079"/>
    <w:rsid w:val="00C91141"/>
    <w:rsid w:val="00C91E96"/>
    <w:rsid w:val="00C93252"/>
    <w:rsid w:val="00C93346"/>
    <w:rsid w:val="00C933C5"/>
    <w:rsid w:val="00C935A6"/>
    <w:rsid w:val="00C9372C"/>
    <w:rsid w:val="00C93EEC"/>
    <w:rsid w:val="00C94D0E"/>
    <w:rsid w:val="00C956C8"/>
    <w:rsid w:val="00C959C3"/>
    <w:rsid w:val="00C95AD3"/>
    <w:rsid w:val="00C968A1"/>
    <w:rsid w:val="00C96FC3"/>
    <w:rsid w:val="00C97125"/>
    <w:rsid w:val="00C971C5"/>
    <w:rsid w:val="00CA0F56"/>
    <w:rsid w:val="00CA14AF"/>
    <w:rsid w:val="00CA16E8"/>
    <w:rsid w:val="00CA18B5"/>
    <w:rsid w:val="00CA192C"/>
    <w:rsid w:val="00CA1E7A"/>
    <w:rsid w:val="00CA1F10"/>
    <w:rsid w:val="00CA2556"/>
    <w:rsid w:val="00CA2C6C"/>
    <w:rsid w:val="00CA3619"/>
    <w:rsid w:val="00CA389F"/>
    <w:rsid w:val="00CA3C47"/>
    <w:rsid w:val="00CA4444"/>
    <w:rsid w:val="00CA51AC"/>
    <w:rsid w:val="00CA5904"/>
    <w:rsid w:val="00CA5C8E"/>
    <w:rsid w:val="00CA5E62"/>
    <w:rsid w:val="00CA602A"/>
    <w:rsid w:val="00CA65C1"/>
    <w:rsid w:val="00CA66F7"/>
    <w:rsid w:val="00CA6707"/>
    <w:rsid w:val="00CA6BF8"/>
    <w:rsid w:val="00CA79D3"/>
    <w:rsid w:val="00CA7A64"/>
    <w:rsid w:val="00CA7CF4"/>
    <w:rsid w:val="00CB05DE"/>
    <w:rsid w:val="00CB0FA4"/>
    <w:rsid w:val="00CB13C2"/>
    <w:rsid w:val="00CB1836"/>
    <w:rsid w:val="00CB196B"/>
    <w:rsid w:val="00CB1C58"/>
    <w:rsid w:val="00CB1DB9"/>
    <w:rsid w:val="00CB1E5A"/>
    <w:rsid w:val="00CB20BE"/>
    <w:rsid w:val="00CB20F0"/>
    <w:rsid w:val="00CB2DEF"/>
    <w:rsid w:val="00CB3098"/>
    <w:rsid w:val="00CB338B"/>
    <w:rsid w:val="00CB33DF"/>
    <w:rsid w:val="00CB4003"/>
    <w:rsid w:val="00CB40CF"/>
    <w:rsid w:val="00CB4511"/>
    <w:rsid w:val="00CB475F"/>
    <w:rsid w:val="00CB4BFF"/>
    <w:rsid w:val="00CB5AF5"/>
    <w:rsid w:val="00CB66C8"/>
    <w:rsid w:val="00CB6BBD"/>
    <w:rsid w:val="00CB7071"/>
    <w:rsid w:val="00CB7207"/>
    <w:rsid w:val="00CB7396"/>
    <w:rsid w:val="00CB74E6"/>
    <w:rsid w:val="00CB7D9D"/>
    <w:rsid w:val="00CB7DAE"/>
    <w:rsid w:val="00CB7EBD"/>
    <w:rsid w:val="00CC004A"/>
    <w:rsid w:val="00CC00F7"/>
    <w:rsid w:val="00CC0207"/>
    <w:rsid w:val="00CC0C4A"/>
    <w:rsid w:val="00CC198A"/>
    <w:rsid w:val="00CC2406"/>
    <w:rsid w:val="00CC2623"/>
    <w:rsid w:val="00CC27C0"/>
    <w:rsid w:val="00CC3BF9"/>
    <w:rsid w:val="00CC3C97"/>
    <w:rsid w:val="00CC453C"/>
    <w:rsid w:val="00CC4FD4"/>
    <w:rsid w:val="00CC50B2"/>
    <w:rsid w:val="00CC5173"/>
    <w:rsid w:val="00CC5D97"/>
    <w:rsid w:val="00CC624A"/>
    <w:rsid w:val="00CC66A7"/>
    <w:rsid w:val="00CC6878"/>
    <w:rsid w:val="00CC6A6B"/>
    <w:rsid w:val="00CC6E01"/>
    <w:rsid w:val="00CC74E3"/>
    <w:rsid w:val="00CC7821"/>
    <w:rsid w:val="00CC7851"/>
    <w:rsid w:val="00CC7C6D"/>
    <w:rsid w:val="00CC7F42"/>
    <w:rsid w:val="00CD0057"/>
    <w:rsid w:val="00CD00CD"/>
    <w:rsid w:val="00CD015E"/>
    <w:rsid w:val="00CD0631"/>
    <w:rsid w:val="00CD0A27"/>
    <w:rsid w:val="00CD0B03"/>
    <w:rsid w:val="00CD0CA9"/>
    <w:rsid w:val="00CD0E66"/>
    <w:rsid w:val="00CD0F49"/>
    <w:rsid w:val="00CD11CF"/>
    <w:rsid w:val="00CD137D"/>
    <w:rsid w:val="00CD1978"/>
    <w:rsid w:val="00CD1A7B"/>
    <w:rsid w:val="00CD2414"/>
    <w:rsid w:val="00CD281F"/>
    <w:rsid w:val="00CD296E"/>
    <w:rsid w:val="00CD2BB2"/>
    <w:rsid w:val="00CD3C6C"/>
    <w:rsid w:val="00CD3F90"/>
    <w:rsid w:val="00CD4C7E"/>
    <w:rsid w:val="00CD5273"/>
    <w:rsid w:val="00CD52E0"/>
    <w:rsid w:val="00CD5F2A"/>
    <w:rsid w:val="00CD5FD9"/>
    <w:rsid w:val="00CD6325"/>
    <w:rsid w:val="00CD65E6"/>
    <w:rsid w:val="00CD6984"/>
    <w:rsid w:val="00CD6B2D"/>
    <w:rsid w:val="00CD7E64"/>
    <w:rsid w:val="00CE0062"/>
    <w:rsid w:val="00CE0C58"/>
    <w:rsid w:val="00CE16C3"/>
    <w:rsid w:val="00CE18EF"/>
    <w:rsid w:val="00CE2639"/>
    <w:rsid w:val="00CE2730"/>
    <w:rsid w:val="00CE2792"/>
    <w:rsid w:val="00CE35B1"/>
    <w:rsid w:val="00CE367B"/>
    <w:rsid w:val="00CE36D6"/>
    <w:rsid w:val="00CE3941"/>
    <w:rsid w:val="00CE4223"/>
    <w:rsid w:val="00CE479D"/>
    <w:rsid w:val="00CE4966"/>
    <w:rsid w:val="00CE4AF8"/>
    <w:rsid w:val="00CE4DC6"/>
    <w:rsid w:val="00CE5008"/>
    <w:rsid w:val="00CE59D0"/>
    <w:rsid w:val="00CE6378"/>
    <w:rsid w:val="00CE6B29"/>
    <w:rsid w:val="00CE6E35"/>
    <w:rsid w:val="00CE705D"/>
    <w:rsid w:val="00CE7385"/>
    <w:rsid w:val="00CE73D0"/>
    <w:rsid w:val="00CE7BB5"/>
    <w:rsid w:val="00CF025A"/>
    <w:rsid w:val="00CF081C"/>
    <w:rsid w:val="00CF0A44"/>
    <w:rsid w:val="00CF0EBA"/>
    <w:rsid w:val="00CF1316"/>
    <w:rsid w:val="00CF1814"/>
    <w:rsid w:val="00CF19E4"/>
    <w:rsid w:val="00CF19F8"/>
    <w:rsid w:val="00CF2138"/>
    <w:rsid w:val="00CF22C5"/>
    <w:rsid w:val="00CF346F"/>
    <w:rsid w:val="00CF3BE1"/>
    <w:rsid w:val="00CF3E41"/>
    <w:rsid w:val="00CF40DF"/>
    <w:rsid w:val="00CF447C"/>
    <w:rsid w:val="00CF4D8B"/>
    <w:rsid w:val="00CF628C"/>
    <w:rsid w:val="00CF6A79"/>
    <w:rsid w:val="00CF6BEC"/>
    <w:rsid w:val="00CF7179"/>
    <w:rsid w:val="00D01238"/>
    <w:rsid w:val="00D02217"/>
    <w:rsid w:val="00D025CF"/>
    <w:rsid w:val="00D02DFF"/>
    <w:rsid w:val="00D048BC"/>
    <w:rsid w:val="00D04951"/>
    <w:rsid w:val="00D05021"/>
    <w:rsid w:val="00D0594E"/>
    <w:rsid w:val="00D059A3"/>
    <w:rsid w:val="00D05A47"/>
    <w:rsid w:val="00D05B7C"/>
    <w:rsid w:val="00D05D95"/>
    <w:rsid w:val="00D05DE8"/>
    <w:rsid w:val="00D0602E"/>
    <w:rsid w:val="00D069DF"/>
    <w:rsid w:val="00D070C5"/>
    <w:rsid w:val="00D0726D"/>
    <w:rsid w:val="00D076D6"/>
    <w:rsid w:val="00D07F5C"/>
    <w:rsid w:val="00D102F4"/>
    <w:rsid w:val="00D10BF2"/>
    <w:rsid w:val="00D11043"/>
    <w:rsid w:val="00D11356"/>
    <w:rsid w:val="00D11C0F"/>
    <w:rsid w:val="00D12935"/>
    <w:rsid w:val="00D13191"/>
    <w:rsid w:val="00D13C96"/>
    <w:rsid w:val="00D141FE"/>
    <w:rsid w:val="00D15487"/>
    <w:rsid w:val="00D15E7F"/>
    <w:rsid w:val="00D1640D"/>
    <w:rsid w:val="00D1692D"/>
    <w:rsid w:val="00D16BBC"/>
    <w:rsid w:val="00D173DF"/>
    <w:rsid w:val="00D17E2E"/>
    <w:rsid w:val="00D200F1"/>
    <w:rsid w:val="00D20740"/>
    <w:rsid w:val="00D207D5"/>
    <w:rsid w:val="00D22856"/>
    <w:rsid w:val="00D229DC"/>
    <w:rsid w:val="00D22CDB"/>
    <w:rsid w:val="00D23074"/>
    <w:rsid w:val="00D23219"/>
    <w:rsid w:val="00D238BF"/>
    <w:rsid w:val="00D23BA8"/>
    <w:rsid w:val="00D2440E"/>
    <w:rsid w:val="00D24487"/>
    <w:rsid w:val="00D2486E"/>
    <w:rsid w:val="00D249A7"/>
    <w:rsid w:val="00D24BAB"/>
    <w:rsid w:val="00D24F07"/>
    <w:rsid w:val="00D25472"/>
    <w:rsid w:val="00D254AB"/>
    <w:rsid w:val="00D26123"/>
    <w:rsid w:val="00D26C56"/>
    <w:rsid w:val="00D2720B"/>
    <w:rsid w:val="00D27764"/>
    <w:rsid w:val="00D27936"/>
    <w:rsid w:val="00D27BAE"/>
    <w:rsid w:val="00D30346"/>
    <w:rsid w:val="00D3068A"/>
    <w:rsid w:val="00D30856"/>
    <w:rsid w:val="00D31134"/>
    <w:rsid w:val="00D315A8"/>
    <w:rsid w:val="00D319CA"/>
    <w:rsid w:val="00D31A71"/>
    <w:rsid w:val="00D31E0F"/>
    <w:rsid w:val="00D321F7"/>
    <w:rsid w:val="00D32398"/>
    <w:rsid w:val="00D32C12"/>
    <w:rsid w:val="00D339F5"/>
    <w:rsid w:val="00D33FDF"/>
    <w:rsid w:val="00D3402F"/>
    <w:rsid w:val="00D34703"/>
    <w:rsid w:val="00D34F5A"/>
    <w:rsid w:val="00D35D04"/>
    <w:rsid w:val="00D35D22"/>
    <w:rsid w:val="00D369B1"/>
    <w:rsid w:val="00D36D56"/>
    <w:rsid w:val="00D37087"/>
    <w:rsid w:val="00D3759B"/>
    <w:rsid w:val="00D375CA"/>
    <w:rsid w:val="00D409E9"/>
    <w:rsid w:val="00D40C3F"/>
    <w:rsid w:val="00D40F99"/>
    <w:rsid w:val="00D4128E"/>
    <w:rsid w:val="00D415B1"/>
    <w:rsid w:val="00D41D50"/>
    <w:rsid w:val="00D42BC0"/>
    <w:rsid w:val="00D42C71"/>
    <w:rsid w:val="00D42CCA"/>
    <w:rsid w:val="00D43D09"/>
    <w:rsid w:val="00D4453A"/>
    <w:rsid w:val="00D44F9A"/>
    <w:rsid w:val="00D45410"/>
    <w:rsid w:val="00D4577D"/>
    <w:rsid w:val="00D46107"/>
    <w:rsid w:val="00D46623"/>
    <w:rsid w:val="00D47768"/>
    <w:rsid w:val="00D47E30"/>
    <w:rsid w:val="00D5004B"/>
    <w:rsid w:val="00D500A7"/>
    <w:rsid w:val="00D502DF"/>
    <w:rsid w:val="00D50313"/>
    <w:rsid w:val="00D50A02"/>
    <w:rsid w:val="00D511DB"/>
    <w:rsid w:val="00D51918"/>
    <w:rsid w:val="00D51BFF"/>
    <w:rsid w:val="00D51DAB"/>
    <w:rsid w:val="00D5380B"/>
    <w:rsid w:val="00D53918"/>
    <w:rsid w:val="00D5399E"/>
    <w:rsid w:val="00D53CF4"/>
    <w:rsid w:val="00D53E10"/>
    <w:rsid w:val="00D54172"/>
    <w:rsid w:val="00D5438C"/>
    <w:rsid w:val="00D5446F"/>
    <w:rsid w:val="00D54985"/>
    <w:rsid w:val="00D54988"/>
    <w:rsid w:val="00D54B82"/>
    <w:rsid w:val="00D54BDA"/>
    <w:rsid w:val="00D55152"/>
    <w:rsid w:val="00D5547C"/>
    <w:rsid w:val="00D55941"/>
    <w:rsid w:val="00D55CCA"/>
    <w:rsid w:val="00D55E81"/>
    <w:rsid w:val="00D560AC"/>
    <w:rsid w:val="00D561FB"/>
    <w:rsid w:val="00D56290"/>
    <w:rsid w:val="00D572CE"/>
    <w:rsid w:val="00D57A79"/>
    <w:rsid w:val="00D60020"/>
    <w:rsid w:val="00D60675"/>
    <w:rsid w:val="00D60881"/>
    <w:rsid w:val="00D60DE3"/>
    <w:rsid w:val="00D6100C"/>
    <w:rsid w:val="00D61B4F"/>
    <w:rsid w:val="00D61BC0"/>
    <w:rsid w:val="00D61D48"/>
    <w:rsid w:val="00D61D9F"/>
    <w:rsid w:val="00D6281E"/>
    <w:rsid w:val="00D6297D"/>
    <w:rsid w:val="00D62C44"/>
    <w:rsid w:val="00D62CD1"/>
    <w:rsid w:val="00D62E57"/>
    <w:rsid w:val="00D6438C"/>
    <w:rsid w:val="00D645C3"/>
    <w:rsid w:val="00D64994"/>
    <w:rsid w:val="00D64D9E"/>
    <w:rsid w:val="00D6527E"/>
    <w:rsid w:val="00D65407"/>
    <w:rsid w:val="00D65411"/>
    <w:rsid w:val="00D65607"/>
    <w:rsid w:val="00D660BF"/>
    <w:rsid w:val="00D669A2"/>
    <w:rsid w:val="00D66A40"/>
    <w:rsid w:val="00D66A90"/>
    <w:rsid w:val="00D66B77"/>
    <w:rsid w:val="00D672F3"/>
    <w:rsid w:val="00D67895"/>
    <w:rsid w:val="00D67D01"/>
    <w:rsid w:val="00D70096"/>
    <w:rsid w:val="00D70AB2"/>
    <w:rsid w:val="00D70C1E"/>
    <w:rsid w:val="00D70D0B"/>
    <w:rsid w:val="00D71305"/>
    <w:rsid w:val="00D7135A"/>
    <w:rsid w:val="00D715F9"/>
    <w:rsid w:val="00D71764"/>
    <w:rsid w:val="00D71F72"/>
    <w:rsid w:val="00D72091"/>
    <w:rsid w:val="00D72815"/>
    <w:rsid w:val="00D72C70"/>
    <w:rsid w:val="00D730D3"/>
    <w:rsid w:val="00D73A78"/>
    <w:rsid w:val="00D73F91"/>
    <w:rsid w:val="00D743B5"/>
    <w:rsid w:val="00D744A2"/>
    <w:rsid w:val="00D7461E"/>
    <w:rsid w:val="00D746B1"/>
    <w:rsid w:val="00D74B43"/>
    <w:rsid w:val="00D74BC3"/>
    <w:rsid w:val="00D75FC1"/>
    <w:rsid w:val="00D765A0"/>
    <w:rsid w:val="00D769A3"/>
    <w:rsid w:val="00D76FCC"/>
    <w:rsid w:val="00D771EA"/>
    <w:rsid w:val="00D7789A"/>
    <w:rsid w:val="00D81435"/>
    <w:rsid w:val="00D820AB"/>
    <w:rsid w:val="00D829CC"/>
    <w:rsid w:val="00D82FDE"/>
    <w:rsid w:val="00D83B1B"/>
    <w:rsid w:val="00D83E51"/>
    <w:rsid w:val="00D83F1C"/>
    <w:rsid w:val="00D84082"/>
    <w:rsid w:val="00D84571"/>
    <w:rsid w:val="00D84655"/>
    <w:rsid w:val="00D848AA"/>
    <w:rsid w:val="00D84DCE"/>
    <w:rsid w:val="00D85353"/>
    <w:rsid w:val="00D8615B"/>
    <w:rsid w:val="00D86B0A"/>
    <w:rsid w:val="00D86BBF"/>
    <w:rsid w:val="00D87679"/>
    <w:rsid w:val="00D87BD1"/>
    <w:rsid w:val="00D87C12"/>
    <w:rsid w:val="00D906BE"/>
    <w:rsid w:val="00D90A9C"/>
    <w:rsid w:val="00D90BD2"/>
    <w:rsid w:val="00D913A8"/>
    <w:rsid w:val="00D913FC"/>
    <w:rsid w:val="00D91894"/>
    <w:rsid w:val="00D91D2D"/>
    <w:rsid w:val="00D91DAF"/>
    <w:rsid w:val="00D926AA"/>
    <w:rsid w:val="00D92944"/>
    <w:rsid w:val="00D92E03"/>
    <w:rsid w:val="00D92F9E"/>
    <w:rsid w:val="00D935A1"/>
    <w:rsid w:val="00D93695"/>
    <w:rsid w:val="00D93C76"/>
    <w:rsid w:val="00D94A84"/>
    <w:rsid w:val="00D9613D"/>
    <w:rsid w:val="00D961C8"/>
    <w:rsid w:val="00D969FB"/>
    <w:rsid w:val="00D97C0C"/>
    <w:rsid w:val="00D97EA6"/>
    <w:rsid w:val="00DA0BA9"/>
    <w:rsid w:val="00DA0D53"/>
    <w:rsid w:val="00DA18ED"/>
    <w:rsid w:val="00DA1D2C"/>
    <w:rsid w:val="00DA1D9F"/>
    <w:rsid w:val="00DA2CED"/>
    <w:rsid w:val="00DA377A"/>
    <w:rsid w:val="00DA4017"/>
    <w:rsid w:val="00DA45FE"/>
    <w:rsid w:val="00DA50C3"/>
    <w:rsid w:val="00DA50CE"/>
    <w:rsid w:val="00DA5124"/>
    <w:rsid w:val="00DA54F0"/>
    <w:rsid w:val="00DA5E8B"/>
    <w:rsid w:val="00DA6164"/>
    <w:rsid w:val="00DA616A"/>
    <w:rsid w:val="00DA663D"/>
    <w:rsid w:val="00DA6AFB"/>
    <w:rsid w:val="00DA758F"/>
    <w:rsid w:val="00DA7966"/>
    <w:rsid w:val="00DA7A23"/>
    <w:rsid w:val="00DA7B5C"/>
    <w:rsid w:val="00DA7F97"/>
    <w:rsid w:val="00DB000B"/>
    <w:rsid w:val="00DB0115"/>
    <w:rsid w:val="00DB02E1"/>
    <w:rsid w:val="00DB0A0A"/>
    <w:rsid w:val="00DB0A72"/>
    <w:rsid w:val="00DB0B1C"/>
    <w:rsid w:val="00DB0C02"/>
    <w:rsid w:val="00DB137F"/>
    <w:rsid w:val="00DB30BB"/>
    <w:rsid w:val="00DB4069"/>
    <w:rsid w:val="00DB461F"/>
    <w:rsid w:val="00DB4AFB"/>
    <w:rsid w:val="00DB4C7A"/>
    <w:rsid w:val="00DB4CF3"/>
    <w:rsid w:val="00DB4EF9"/>
    <w:rsid w:val="00DB4FF3"/>
    <w:rsid w:val="00DB589B"/>
    <w:rsid w:val="00DB6309"/>
    <w:rsid w:val="00DB6318"/>
    <w:rsid w:val="00DB6A3F"/>
    <w:rsid w:val="00DB6CD1"/>
    <w:rsid w:val="00DB6FE2"/>
    <w:rsid w:val="00DC0630"/>
    <w:rsid w:val="00DC0E93"/>
    <w:rsid w:val="00DC12B0"/>
    <w:rsid w:val="00DC13AD"/>
    <w:rsid w:val="00DC14E8"/>
    <w:rsid w:val="00DC15F4"/>
    <w:rsid w:val="00DC1834"/>
    <w:rsid w:val="00DC1839"/>
    <w:rsid w:val="00DC1ED0"/>
    <w:rsid w:val="00DC20D1"/>
    <w:rsid w:val="00DC2BDE"/>
    <w:rsid w:val="00DC31D7"/>
    <w:rsid w:val="00DC32D5"/>
    <w:rsid w:val="00DC387F"/>
    <w:rsid w:val="00DC3B5C"/>
    <w:rsid w:val="00DC3E0B"/>
    <w:rsid w:val="00DC4475"/>
    <w:rsid w:val="00DC45A3"/>
    <w:rsid w:val="00DC45EC"/>
    <w:rsid w:val="00DC4607"/>
    <w:rsid w:val="00DC4668"/>
    <w:rsid w:val="00DC4845"/>
    <w:rsid w:val="00DC4AD6"/>
    <w:rsid w:val="00DC517D"/>
    <w:rsid w:val="00DC564B"/>
    <w:rsid w:val="00DC5E6B"/>
    <w:rsid w:val="00DC62F8"/>
    <w:rsid w:val="00DC6440"/>
    <w:rsid w:val="00DC6596"/>
    <w:rsid w:val="00DC71D8"/>
    <w:rsid w:val="00DC7CBB"/>
    <w:rsid w:val="00DC7EF0"/>
    <w:rsid w:val="00DD06AA"/>
    <w:rsid w:val="00DD0745"/>
    <w:rsid w:val="00DD086E"/>
    <w:rsid w:val="00DD09A2"/>
    <w:rsid w:val="00DD0F9B"/>
    <w:rsid w:val="00DD12A3"/>
    <w:rsid w:val="00DD192F"/>
    <w:rsid w:val="00DD23B9"/>
    <w:rsid w:val="00DD2429"/>
    <w:rsid w:val="00DD2917"/>
    <w:rsid w:val="00DD2BA6"/>
    <w:rsid w:val="00DD36EC"/>
    <w:rsid w:val="00DD3F64"/>
    <w:rsid w:val="00DD4117"/>
    <w:rsid w:val="00DD47E4"/>
    <w:rsid w:val="00DD4AC3"/>
    <w:rsid w:val="00DD4D0F"/>
    <w:rsid w:val="00DD52F2"/>
    <w:rsid w:val="00DD591C"/>
    <w:rsid w:val="00DD5F1E"/>
    <w:rsid w:val="00DD65E9"/>
    <w:rsid w:val="00DD692C"/>
    <w:rsid w:val="00DD6E08"/>
    <w:rsid w:val="00DD6FCC"/>
    <w:rsid w:val="00DD72CE"/>
    <w:rsid w:val="00DD7540"/>
    <w:rsid w:val="00DD7574"/>
    <w:rsid w:val="00DD7634"/>
    <w:rsid w:val="00DD7664"/>
    <w:rsid w:val="00DD7878"/>
    <w:rsid w:val="00DD7B7B"/>
    <w:rsid w:val="00DD7C95"/>
    <w:rsid w:val="00DD7E5D"/>
    <w:rsid w:val="00DD7E97"/>
    <w:rsid w:val="00DE04D2"/>
    <w:rsid w:val="00DE0514"/>
    <w:rsid w:val="00DE07EA"/>
    <w:rsid w:val="00DE081F"/>
    <w:rsid w:val="00DE0873"/>
    <w:rsid w:val="00DE1141"/>
    <w:rsid w:val="00DE2D53"/>
    <w:rsid w:val="00DE33DD"/>
    <w:rsid w:val="00DE34DB"/>
    <w:rsid w:val="00DE438C"/>
    <w:rsid w:val="00DE49AA"/>
    <w:rsid w:val="00DE4C55"/>
    <w:rsid w:val="00DE5009"/>
    <w:rsid w:val="00DE50BE"/>
    <w:rsid w:val="00DE5280"/>
    <w:rsid w:val="00DE5A83"/>
    <w:rsid w:val="00DE5E2E"/>
    <w:rsid w:val="00DE6047"/>
    <w:rsid w:val="00DE68D3"/>
    <w:rsid w:val="00DE6F36"/>
    <w:rsid w:val="00DE70AE"/>
    <w:rsid w:val="00DE78AC"/>
    <w:rsid w:val="00DE7D52"/>
    <w:rsid w:val="00DF040A"/>
    <w:rsid w:val="00DF0DFE"/>
    <w:rsid w:val="00DF1539"/>
    <w:rsid w:val="00DF189D"/>
    <w:rsid w:val="00DF1ECD"/>
    <w:rsid w:val="00DF1EFB"/>
    <w:rsid w:val="00DF2752"/>
    <w:rsid w:val="00DF31AB"/>
    <w:rsid w:val="00DF33BF"/>
    <w:rsid w:val="00DF342F"/>
    <w:rsid w:val="00DF39A5"/>
    <w:rsid w:val="00DF3BDC"/>
    <w:rsid w:val="00DF4248"/>
    <w:rsid w:val="00DF4572"/>
    <w:rsid w:val="00DF4DD5"/>
    <w:rsid w:val="00DF51B4"/>
    <w:rsid w:val="00DF569C"/>
    <w:rsid w:val="00DF56C4"/>
    <w:rsid w:val="00DF59E5"/>
    <w:rsid w:val="00DF5FCD"/>
    <w:rsid w:val="00DF608C"/>
    <w:rsid w:val="00DF66AF"/>
    <w:rsid w:val="00DF66C9"/>
    <w:rsid w:val="00DF6709"/>
    <w:rsid w:val="00DF6BB6"/>
    <w:rsid w:val="00DF733E"/>
    <w:rsid w:val="00DF73AD"/>
    <w:rsid w:val="00DF743B"/>
    <w:rsid w:val="00DF78D2"/>
    <w:rsid w:val="00DF79F4"/>
    <w:rsid w:val="00DF7AE2"/>
    <w:rsid w:val="00E007C2"/>
    <w:rsid w:val="00E00932"/>
    <w:rsid w:val="00E00983"/>
    <w:rsid w:val="00E00CA6"/>
    <w:rsid w:val="00E00EC2"/>
    <w:rsid w:val="00E00F25"/>
    <w:rsid w:val="00E0201B"/>
    <w:rsid w:val="00E021BA"/>
    <w:rsid w:val="00E022CF"/>
    <w:rsid w:val="00E0549C"/>
    <w:rsid w:val="00E05801"/>
    <w:rsid w:val="00E05A34"/>
    <w:rsid w:val="00E05C77"/>
    <w:rsid w:val="00E06444"/>
    <w:rsid w:val="00E06683"/>
    <w:rsid w:val="00E066D4"/>
    <w:rsid w:val="00E06732"/>
    <w:rsid w:val="00E069C3"/>
    <w:rsid w:val="00E06C27"/>
    <w:rsid w:val="00E078CF"/>
    <w:rsid w:val="00E07DF2"/>
    <w:rsid w:val="00E07E11"/>
    <w:rsid w:val="00E07FE5"/>
    <w:rsid w:val="00E10386"/>
    <w:rsid w:val="00E11203"/>
    <w:rsid w:val="00E11CFE"/>
    <w:rsid w:val="00E12431"/>
    <w:rsid w:val="00E12951"/>
    <w:rsid w:val="00E12AB7"/>
    <w:rsid w:val="00E12B78"/>
    <w:rsid w:val="00E12ED3"/>
    <w:rsid w:val="00E132D1"/>
    <w:rsid w:val="00E135BC"/>
    <w:rsid w:val="00E136D6"/>
    <w:rsid w:val="00E13936"/>
    <w:rsid w:val="00E13E54"/>
    <w:rsid w:val="00E1400B"/>
    <w:rsid w:val="00E1410F"/>
    <w:rsid w:val="00E147E7"/>
    <w:rsid w:val="00E14C2B"/>
    <w:rsid w:val="00E14CF6"/>
    <w:rsid w:val="00E15B3B"/>
    <w:rsid w:val="00E16933"/>
    <w:rsid w:val="00E169D3"/>
    <w:rsid w:val="00E16B3B"/>
    <w:rsid w:val="00E17A2E"/>
    <w:rsid w:val="00E17FDF"/>
    <w:rsid w:val="00E2081A"/>
    <w:rsid w:val="00E2189C"/>
    <w:rsid w:val="00E22650"/>
    <w:rsid w:val="00E22883"/>
    <w:rsid w:val="00E22BBF"/>
    <w:rsid w:val="00E23004"/>
    <w:rsid w:val="00E235AE"/>
    <w:rsid w:val="00E2393A"/>
    <w:rsid w:val="00E23A70"/>
    <w:rsid w:val="00E2420B"/>
    <w:rsid w:val="00E24899"/>
    <w:rsid w:val="00E25AA4"/>
    <w:rsid w:val="00E26449"/>
    <w:rsid w:val="00E267DA"/>
    <w:rsid w:val="00E26CA0"/>
    <w:rsid w:val="00E26ED8"/>
    <w:rsid w:val="00E2735A"/>
    <w:rsid w:val="00E302C3"/>
    <w:rsid w:val="00E3075B"/>
    <w:rsid w:val="00E307D4"/>
    <w:rsid w:val="00E319D6"/>
    <w:rsid w:val="00E31E77"/>
    <w:rsid w:val="00E3317B"/>
    <w:rsid w:val="00E334E0"/>
    <w:rsid w:val="00E33801"/>
    <w:rsid w:val="00E34C19"/>
    <w:rsid w:val="00E34CE3"/>
    <w:rsid w:val="00E351AB"/>
    <w:rsid w:val="00E358B6"/>
    <w:rsid w:val="00E361E5"/>
    <w:rsid w:val="00E36899"/>
    <w:rsid w:val="00E3706B"/>
    <w:rsid w:val="00E37BC2"/>
    <w:rsid w:val="00E40070"/>
    <w:rsid w:val="00E404E4"/>
    <w:rsid w:val="00E40B58"/>
    <w:rsid w:val="00E40CA3"/>
    <w:rsid w:val="00E40E69"/>
    <w:rsid w:val="00E410A0"/>
    <w:rsid w:val="00E414C0"/>
    <w:rsid w:val="00E4166C"/>
    <w:rsid w:val="00E42351"/>
    <w:rsid w:val="00E42BA4"/>
    <w:rsid w:val="00E43106"/>
    <w:rsid w:val="00E43E5F"/>
    <w:rsid w:val="00E43E7A"/>
    <w:rsid w:val="00E44435"/>
    <w:rsid w:val="00E4491A"/>
    <w:rsid w:val="00E44CCA"/>
    <w:rsid w:val="00E44E47"/>
    <w:rsid w:val="00E456AA"/>
    <w:rsid w:val="00E4592A"/>
    <w:rsid w:val="00E45D54"/>
    <w:rsid w:val="00E46D1F"/>
    <w:rsid w:val="00E46E85"/>
    <w:rsid w:val="00E474F4"/>
    <w:rsid w:val="00E47C8C"/>
    <w:rsid w:val="00E506F2"/>
    <w:rsid w:val="00E50ED0"/>
    <w:rsid w:val="00E516B2"/>
    <w:rsid w:val="00E51ACC"/>
    <w:rsid w:val="00E522A4"/>
    <w:rsid w:val="00E528E8"/>
    <w:rsid w:val="00E52A6A"/>
    <w:rsid w:val="00E52D89"/>
    <w:rsid w:val="00E53993"/>
    <w:rsid w:val="00E540DD"/>
    <w:rsid w:val="00E54166"/>
    <w:rsid w:val="00E54855"/>
    <w:rsid w:val="00E5498C"/>
    <w:rsid w:val="00E5498F"/>
    <w:rsid w:val="00E55387"/>
    <w:rsid w:val="00E55C2D"/>
    <w:rsid w:val="00E56300"/>
    <w:rsid w:val="00E56939"/>
    <w:rsid w:val="00E569D4"/>
    <w:rsid w:val="00E56D70"/>
    <w:rsid w:val="00E57692"/>
    <w:rsid w:val="00E57B61"/>
    <w:rsid w:val="00E60EE6"/>
    <w:rsid w:val="00E614A3"/>
    <w:rsid w:val="00E61580"/>
    <w:rsid w:val="00E6218D"/>
    <w:rsid w:val="00E62A8E"/>
    <w:rsid w:val="00E62E8D"/>
    <w:rsid w:val="00E63507"/>
    <w:rsid w:val="00E63802"/>
    <w:rsid w:val="00E63830"/>
    <w:rsid w:val="00E63BBF"/>
    <w:rsid w:val="00E63C8D"/>
    <w:rsid w:val="00E63CCF"/>
    <w:rsid w:val="00E643A9"/>
    <w:rsid w:val="00E64AF8"/>
    <w:rsid w:val="00E64F8F"/>
    <w:rsid w:val="00E650DC"/>
    <w:rsid w:val="00E656C7"/>
    <w:rsid w:val="00E66707"/>
    <w:rsid w:val="00E6698B"/>
    <w:rsid w:val="00E67C6F"/>
    <w:rsid w:val="00E70360"/>
    <w:rsid w:val="00E70B63"/>
    <w:rsid w:val="00E70BDF"/>
    <w:rsid w:val="00E70CAC"/>
    <w:rsid w:val="00E70F35"/>
    <w:rsid w:val="00E71581"/>
    <w:rsid w:val="00E71760"/>
    <w:rsid w:val="00E71B10"/>
    <w:rsid w:val="00E71B3C"/>
    <w:rsid w:val="00E71CE0"/>
    <w:rsid w:val="00E71E94"/>
    <w:rsid w:val="00E72AD3"/>
    <w:rsid w:val="00E73AF2"/>
    <w:rsid w:val="00E73DEE"/>
    <w:rsid w:val="00E748B9"/>
    <w:rsid w:val="00E74C1A"/>
    <w:rsid w:val="00E754FB"/>
    <w:rsid w:val="00E75721"/>
    <w:rsid w:val="00E75B90"/>
    <w:rsid w:val="00E75BA6"/>
    <w:rsid w:val="00E75D6D"/>
    <w:rsid w:val="00E76007"/>
    <w:rsid w:val="00E7637F"/>
    <w:rsid w:val="00E76A88"/>
    <w:rsid w:val="00E76C57"/>
    <w:rsid w:val="00E77268"/>
    <w:rsid w:val="00E77B98"/>
    <w:rsid w:val="00E77C51"/>
    <w:rsid w:val="00E801A7"/>
    <w:rsid w:val="00E80554"/>
    <w:rsid w:val="00E805BA"/>
    <w:rsid w:val="00E8065D"/>
    <w:rsid w:val="00E80902"/>
    <w:rsid w:val="00E81166"/>
    <w:rsid w:val="00E81BA0"/>
    <w:rsid w:val="00E82094"/>
    <w:rsid w:val="00E82184"/>
    <w:rsid w:val="00E8218A"/>
    <w:rsid w:val="00E8237A"/>
    <w:rsid w:val="00E8269F"/>
    <w:rsid w:val="00E83D09"/>
    <w:rsid w:val="00E8458C"/>
    <w:rsid w:val="00E845CE"/>
    <w:rsid w:val="00E8529C"/>
    <w:rsid w:val="00E855B3"/>
    <w:rsid w:val="00E85679"/>
    <w:rsid w:val="00E856AC"/>
    <w:rsid w:val="00E857F3"/>
    <w:rsid w:val="00E85DE7"/>
    <w:rsid w:val="00E85EA0"/>
    <w:rsid w:val="00E865FA"/>
    <w:rsid w:val="00E875D5"/>
    <w:rsid w:val="00E87C3E"/>
    <w:rsid w:val="00E9039D"/>
    <w:rsid w:val="00E9179A"/>
    <w:rsid w:val="00E925B5"/>
    <w:rsid w:val="00E92A84"/>
    <w:rsid w:val="00E92FE7"/>
    <w:rsid w:val="00E93293"/>
    <w:rsid w:val="00E938D0"/>
    <w:rsid w:val="00E93FA7"/>
    <w:rsid w:val="00E946A5"/>
    <w:rsid w:val="00E947EA"/>
    <w:rsid w:val="00E94BFE"/>
    <w:rsid w:val="00E94C0D"/>
    <w:rsid w:val="00E956DD"/>
    <w:rsid w:val="00E95D41"/>
    <w:rsid w:val="00E9605E"/>
    <w:rsid w:val="00E97562"/>
    <w:rsid w:val="00EA024A"/>
    <w:rsid w:val="00EA02B2"/>
    <w:rsid w:val="00EA0565"/>
    <w:rsid w:val="00EA09E3"/>
    <w:rsid w:val="00EA0A0E"/>
    <w:rsid w:val="00EA0B96"/>
    <w:rsid w:val="00EA0F57"/>
    <w:rsid w:val="00EA11C4"/>
    <w:rsid w:val="00EA140D"/>
    <w:rsid w:val="00EA1719"/>
    <w:rsid w:val="00EA1C93"/>
    <w:rsid w:val="00EA1D2E"/>
    <w:rsid w:val="00EA2987"/>
    <w:rsid w:val="00EA2BD6"/>
    <w:rsid w:val="00EA3644"/>
    <w:rsid w:val="00EA3915"/>
    <w:rsid w:val="00EA395B"/>
    <w:rsid w:val="00EA3DB8"/>
    <w:rsid w:val="00EA3F69"/>
    <w:rsid w:val="00EA444D"/>
    <w:rsid w:val="00EA4964"/>
    <w:rsid w:val="00EA4A05"/>
    <w:rsid w:val="00EA6FA6"/>
    <w:rsid w:val="00EA73CB"/>
    <w:rsid w:val="00EA76D2"/>
    <w:rsid w:val="00EA7AF8"/>
    <w:rsid w:val="00EA7D9D"/>
    <w:rsid w:val="00EB04D8"/>
    <w:rsid w:val="00EB0A1A"/>
    <w:rsid w:val="00EB1213"/>
    <w:rsid w:val="00EB1620"/>
    <w:rsid w:val="00EB1711"/>
    <w:rsid w:val="00EB27B6"/>
    <w:rsid w:val="00EB29C1"/>
    <w:rsid w:val="00EB2FCA"/>
    <w:rsid w:val="00EB35E4"/>
    <w:rsid w:val="00EB3657"/>
    <w:rsid w:val="00EB3847"/>
    <w:rsid w:val="00EB38E0"/>
    <w:rsid w:val="00EB3DAC"/>
    <w:rsid w:val="00EB4515"/>
    <w:rsid w:val="00EB456D"/>
    <w:rsid w:val="00EB4A16"/>
    <w:rsid w:val="00EB4EFC"/>
    <w:rsid w:val="00EB511C"/>
    <w:rsid w:val="00EB5B96"/>
    <w:rsid w:val="00EB5C20"/>
    <w:rsid w:val="00EB5EF7"/>
    <w:rsid w:val="00EB6745"/>
    <w:rsid w:val="00EB7AF7"/>
    <w:rsid w:val="00EB7BFD"/>
    <w:rsid w:val="00EC0DB4"/>
    <w:rsid w:val="00EC0F53"/>
    <w:rsid w:val="00EC1179"/>
    <w:rsid w:val="00EC14BB"/>
    <w:rsid w:val="00EC16A2"/>
    <w:rsid w:val="00EC1864"/>
    <w:rsid w:val="00EC1CF3"/>
    <w:rsid w:val="00EC2915"/>
    <w:rsid w:val="00EC29BF"/>
    <w:rsid w:val="00EC323B"/>
    <w:rsid w:val="00EC3483"/>
    <w:rsid w:val="00EC39B7"/>
    <w:rsid w:val="00EC4DDE"/>
    <w:rsid w:val="00EC4FDA"/>
    <w:rsid w:val="00EC5051"/>
    <w:rsid w:val="00EC5CD1"/>
    <w:rsid w:val="00EC75DE"/>
    <w:rsid w:val="00EC76E6"/>
    <w:rsid w:val="00EC7903"/>
    <w:rsid w:val="00ED0646"/>
    <w:rsid w:val="00ED2811"/>
    <w:rsid w:val="00ED2840"/>
    <w:rsid w:val="00ED30E9"/>
    <w:rsid w:val="00ED3B01"/>
    <w:rsid w:val="00ED4514"/>
    <w:rsid w:val="00ED4A1D"/>
    <w:rsid w:val="00ED4CC4"/>
    <w:rsid w:val="00ED4DF1"/>
    <w:rsid w:val="00ED58BE"/>
    <w:rsid w:val="00ED59FC"/>
    <w:rsid w:val="00ED5B0D"/>
    <w:rsid w:val="00ED5BB8"/>
    <w:rsid w:val="00ED5E25"/>
    <w:rsid w:val="00ED671A"/>
    <w:rsid w:val="00ED6DAB"/>
    <w:rsid w:val="00ED72A0"/>
    <w:rsid w:val="00ED7322"/>
    <w:rsid w:val="00ED74F6"/>
    <w:rsid w:val="00ED7946"/>
    <w:rsid w:val="00EE0149"/>
    <w:rsid w:val="00EE0335"/>
    <w:rsid w:val="00EE0A58"/>
    <w:rsid w:val="00EE0DBD"/>
    <w:rsid w:val="00EE0EBB"/>
    <w:rsid w:val="00EE1CAB"/>
    <w:rsid w:val="00EE1DBB"/>
    <w:rsid w:val="00EE27C9"/>
    <w:rsid w:val="00EE2988"/>
    <w:rsid w:val="00EE29F1"/>
    <w:rsid w:val="00EE2AD3"/>
    <w:rsid w:val="00EE31EF"/>
    <w:rsid w:val="00EE341B"/>
    <w:rsid w:val="00EE3D1A"/>
    <w:rsid w:val="00EE3FEB"/>
    <w:rsid w:val="00EE4E1A"/>
    <w:rsid w:val="00EE5261"/>
    <w:rsid w:val="00EE5326"/>
    <w:rsid w:val="00EE59AF"/>
    <w:rsid w:val="00EE5ADB"/>
    <w:rsid w:val="00EE5B28"/>
    <w:rsid w:val="00EE5DC9"/>
    <w:rsid w:val="00EE5F3E"/>
    <w:rsid w:val="00EE684B"/>
    <w:rsid w:val="00EE6E30"/>
    <w:rsid w:val="00EE71D7"/>
    <w:rsid w:val="00EE78B8"/>
    <w:rsid w:val="00EE78D1"/>
    <w:rsid w:val="00EE7ECD"/>
    <w:rsid w:val="00EF00C1"/>
    <w:rsid w:val="00EF00FC"/>
    <w:rsid w:val="00EF0226"/>
    <w:rsid w:val="00EF0380"/>
    <w:rsid w:val="00EF044C"/>
    <w:rsid w:val="00EF0564"/>
    <w:rsid w:val="00EF0643"/>
    <w:rsid w:val="00EF0797"/>
    <w:rsid w:val="00EF083B"/>
    <w:rsid w:val="00EF0907"/>
    <w:rsid w:val="00EF0B2A"/>
    <w:rsid w:val="00EF1503"/>
    <w:rsid w:val="00EF1CEC"/>
    <w:rsid w:val="00EF28BA"/>
    <w:rsid w:val="00EF2C3C"/>
    <w:rsid w:val="00EF3E0F"/>
    <w:rsid w:val="00EF4BAA"/>
    <w:rsid w:val="00EF4FB0"/>
    <w:rsid w:val="00EF559D"/>
    <w:rsid w:val="00EF5AD8"/>
    <w:rsid w:val="00EF5F3B"/>
    <w:rsid w:val="00EF5F68"/>
    <w:rsid w:val="00EF622B"/>
    <w:rsid w:val="00EF650E"/>
    <w:rsid w:val="00EF67FB"/>
    <w:rsid w:val="00EF6AF2"/>
    <w:rsid w:val="00EF6D72"/>
    <w:rsid w:val="00EF7112"/>
    <w:rsid w:val="00EF7143"/>
    <w:rsid w:val="00EF74F7"/>
    <w:rsid w:val="00EF7BE5"/>
    <w:rsid w:val="00F0016B"/>
    <w:rsid w:val="00F00218"/>
    <w:rsid w:val="00F0110C"/>
    <w:rsid w:val="00F0115B"/>
    <w:rsid w:val="00F01193"/>
    <w:rsid w:val="00F0132C"/>
    <w:rsid w:val="00F0154A"/>
    <w:rsid w:val="00F01600"/>
    <w:rsid w:val="00F01838"/>
    <w:rsid w:val="00F02395"/>
    <w:rsid w:val="00F02699"/>
    <w:rsid w:val="00F02921"/>
    <w:rsid w:val="00F02D3F"/>
    <w:rsid w:val="00F03290"/>
    <w:rsid w:val="00F03AAF"/>
    <w:rsid w:val="00F03C5F"/>
    <w:rsid w:val="00F04A63"/>
    <w:rsid w:val="00F04EFA"/>
    <w:rsid w:val="00F0511B"/>
    <w:rsid w:val="00F054F0"/>
    <w:rsid w:val="00F05A04"/>
    <w:rsid w:val="00F06178"/>
    <w:rsid w:val="00F06E62"/>
    <w:rsid w:val="00F07876"/>
    <w:rsid w:val="00F07949"/>
    <w:rsid w:val="00F07F64"/>
    <w:rsid w:val="00F100DC"/>
    <w:rsid w:val="00F102A4"/>
    <w:rsid w:val="00F10895"/>
    <w:rsid w:val="00F113DD"/>
    <w:rsid w:val="00F11B01"/>
    <w:rsid w:val="00F12074"/>
    <w:rsid w:val="00F1252C"/>
    <w:rsid w:val="00F134D4"/>
    <w:rsid w:val="00F13E7B"/>
    <w:rsid w:val="00F14320"/>
    <w:rsid w:val="00F144D9"/>
    <w:rsid w:val="00F145C9"/>
    <w:rsid w:val="00F146C0"/>
    <w:rsid w:val="00F147C3"/>
    <w:rsid w:val="00F156BC"/>
    <w:rsid w:val="00F15DED"/>
    <w:rsid w:val="00F15F17"/>
    <w:rsid w:val="00F163A7"/>
    <w:rsid w:val="00F172BB"/>
    <w:rsid w:val="00F17C0C"/>
    <w:rsid w:val="00F17E8C"/>
    <w:rsid w:val="00F17F1F"/>
    <w:rsid w:val="00F209E3"/>
    <w:rsid w:val="00F20EE2"/>
    <w:rsid w:val="00F2184E"/>
    <w:rsid w:val="00F225C4"/>
    <w:rsid w:val="00F22615"/>
    <w:rsid w:val="00F22B34"/>
    <w:rsid w:val="00F22C4A"/>
    <w:rsid w:val="00F23799"/>
    <w:rsid w:val="00F23DC1"/>
    <w:rsid w:val="00F23F1C"/>
    <w:rsid w:val="00F23F99"/>
    <w:rsid w:val="00F240E8"/>
    <w:rsid w:val="00F246ED"/>
    <w:rsid w:val="00F25914"/>
    <w:rsid w:val="00F25F35"/>
    <w:rsid w:val="00F26024"/>
    <w:rsid w:val="00F263A3"/>
    <w:rsid w:val="00F26644"/>
    <w:rsid w:val="00F26C44"/>
    <w:rsid w:val="00F26FB3"/>
    <w:rsid w:val="00F27502"/>
    <w:rsid w:val="00F27D1F"/>
    <w:rsid w:val="00F306D9"/>
    <w:rsid w:val="00F309FD"/>
    <w:rsid w:val="00F30B3D"/>
    <w:rsid w:val="00F30BA2"/>
    <w:rsid w:val="00F30F6B"/>
    <w:rsid w:val="00F31434"/>
    <w:rsid w:val="00F31594"/>
    <w:rsid w:val="00F3163D"/>
    <w:rsid w:val="00F31ABB"/>
    <w:rsid w:val="00F31B6B"/>
    <w:rsid w:val="00F31FAF"/>
    <w:rsid w:val="00F325C7"/>
    <w:rsid w:val="00F326F1"/>
    <w:rsid w:val="00F32758"/>
    <w:rsid w:val="00F32A10"/>
    <w:rsid w:val="00F32AD9"/>
    <w:rsid w:val="00F32B25"/>
    <w:rsid w:val="00F32D3D"/>
    <w:rsid w:val="00F32E79"/>
    <w:rsid w:val="00F333BF"/>
    <w:rsid w:val="00F33617"/>
    <w:rsid w:val="00F3387B"/>
    <w:rsid w:val="00F33A09"/>
    <w:rsid w:val="00F33C88"/>
    <w:rsid w:val="00F340AD"/>
    <w:rsid w:val="00F345C7"/>
    <w:rsid w:val="00F34758"/>
    <w:rsid w:val="00F3526A"/>
    <w:rsid w:val="00F35316"/>
    <w:rsid w:val="00F35A25"/>
    <w:rsid w:val="00F35AF4"/>
    <w:rsid w:val="00F35DF4"/>
    <w:rsid w:val="00F362AB"/>
    <w:rsid w:val="00F36766"/>
    <w:rsid w:val="00F36E37"/>
    <w:rsid w:val="00F36FC7"/>
    <w:rsid w:val="00F379A0"/>
    <w:rsid w:val="00F37A32"/>
    <w:rsid w:val="00F37ABB"/>
    <w:rsid w:val="00F40057"/>
    <w:rsid w:val="00F4062C"/>
    <w:rsid w:val="00F40661"/>
    <w:rsid w:val="00F40CEF"/>
    <w:rsid w:val="00F40E1E"/>
    <w:rsid w:val="00F40FBB"/>
    <w:rsid w:val="00F4121B"/>
    <w:rsid w:val="00F4122D"/>
    <w:rsid w:val="00F41512"/>
    <w:rsid w:val="00F41B45"/>
    <w:rsid w:val="00F42164"/>
    <w:rsid w:val="00F4234B"/>
    <w:rsid w:val="00F426CE"/>
    <w:rsid w:val="00F439A9"/>
    <w:rsid w:val="00F43A84"/>
    <w:rsid w:val="00F43CB4"/>
    <w:rsid w:val="00F4402D"/>
    <w:rsid w:val="00F44119"/>
    <w:rsid w:val="00F4416A"/>
    <w:rsid w:val="00F442C0"/>
    <w:rsid w:val="00F444C7"/>
    <w:rsid w:val="00F44956"/>
    <w:rsid w:val="00F44AB5"/>
    <w:rsid w:val="00F44CC6"/>
    <w:rsid w:val="00F45CAC"/>
    <w:rsid w:val="00F4657D"/>
    <w:rsid w:val="00F46726"/>
    <w:rsid w:val="00F4681C"/>
    <w:rsid w:val="00F468C6"/>
    <w:rsid w:val="00F47740"/>
    <w:rsid w:val="00F503CF"/>
    <w:rsid w:val="00F5060B"/>
    <w:rsid w:val="00F50624"/>
    <w:rsid w:val="00F507C3"/>
    <w:rsid w:val="00F507D0"/>
    <w:rsid w:val="00F50EDC"/>
    <w:rsid w:val="00F50F0F"/>
    <w:rsid w:val="00F51EDB"/>
    <w:rsid w:val="00F51F90"/>
    <w:rsid w:val="00F523B8"/>
    <w:rsid w:val="00F526FE"/>
    <w:rsid w:val="00F52CC0"/>
    <w:rsid w:val="00F53AC5"/>
    <w:rsid w:val="00F5408A"/>
    <w:rsid w:val="00F54A40"/>
    <w:rsid w:val="00F55371"/>
    <w:rsid w:val="00F55396"/>
    <w:rsid w:val="00F55BEC"/>
    <w:rsid w:val="00F56039"/>
    <w:rsid w:val="00F564C4"/>
    <w:rsid w:val="00F579D8"/>
    <w:rsid w:val="00F57C4A"/>
    <w:rsid w:val="00F57F58"/>
    <w:rsid w:val="00F601F7"/>
    <w:rsid w:val="00F6054E"/>
    <w:rsid w:val="00F60795"/>
    <w:rsid w:val="00F6098F"/>
    <w:rsid w:val="00F60F9D"/>
    <w:rsid w:val="00F622F1"/>
    <w:rsid w:val="00F62B1F"/>
    <w:rsid w:val="00F62C72"/>
    <w:rsid w:val="00F636C8"/>
    <w:rsid w:val="00F637D1"/>
    <w:rsid w:val="00F6390B"/>
    <w:rsid w:val="00F63A18"/>
    <w:rsid w:val="00F64646"/>
    <w:rsid w:val="00F64BE1"/>
    <w:rsid w:val="00F64CFE"/>
    <w:rsid w:val="00F64E5B"/>
    <w:rsid w:val="00F6519D"/>
    <w:rsid w:val="00F66312"/>
    <w:rsid w:val="00F66620"/>
    <w:rsid w:val="00F66842"/>
    <w:rsid w:val="00F66D84"/>
    <w:rsid w:val="00F67436"/>
    <w:rsid w:val="00F679BC"/>
    <w:rsid w:val="00F70613"/>
    <w:rsid w:val="00F70A01"/>
    <w:rsid w:val="00F70CCE"/>
    <w:rsid w:val="00F72493"/>
    <w:rsid w:val="00F72588"/>
    <w:rsid w:val="00F7298A"/>
    <w:rsid w:val="00F72E3D"/>
    <w:rsid w:val="00F737B5"/>
    <w:rsid w:val="00F74F78"/>
    <w:rsid w:val="00F758D3"/>
    <w:rsid w:val="00F75960"/>
    <w:rsid w:val="00F759EA"/>
    <w:rsid w:val="00F76466"/>
    <w:rsid w:val="00F76FD7"/>
    <w:rsid w:val="00F77064"/>
    <w:rsid w:val="00F77E7E"/>
    <w:rsid w:val="00F77F0F"/>
    <w:rsid w:val="00F8046A"/>
    <w:rsid w:val="00F80CB7"/>
    <w:rsid w:val="00F81047"/>
    <w:rsid w:val="00F81E9D"/>
    <w:rsid w:val="00F825B7"/>
    <w:rsid w:val="00F828B0"/>
    <w:rsid w:val="00F82916"/>
    <w:rsid w:val="00F82E0A"/>
    <w:rsid w:val="00F836D6"/>
    <w:rsid w:val="00F83723"/>
    <w:rsid w:val="00F83DFF"/>
    <w:rsid w:val="00F83E14"/>
    <w:rsid w:val="00F83E45"/>
    <w:rsid w:val="00F845D4"/>
    <w:rsid w:val="00F84B17"/>
    <w:rsid w:val="00F852CE"/>
    <w:rsid w:val="00F85648"/>
    <w:rsid w:val="00F86512"/>
    <w:rsid w:val="00F86B9F"/>
    <w:rsid w:val="00F86F11"/>
    <w:rsid w:val="00F87780"/>
    <w:rsid w:val="00F877A5"/>
    <w:rsid w:val="00F87C8C"/>
    <w:rsid w:val="00F905C4"/>
    <w:rsid w:val="00F906A2"/>
    <w:rsid w:val="00F91BD9"/>
    <w:rsid w:val="00F91D76"/>
    <w:rsid w:val="00F92052"/>
    <w:rsid w:val="00F92B60"/>
    <w:rsid w:val="00F9341C"/>
    <w:rsid w:val="00F936C5"/>
    <w:rsid w:val="00F93785"/>
    <w:rsid w:val="00F9416E"/>
    <w:rsid w:val="00F945E3"/>
    <w:rsid w:val="00F94628"/>
    <w:rsid w:val="00F94E6F"/>
    <w:rsid w:val="00F94F17"/>
    <w:rsid w:val="00F9530A"/>
    <w:rsid w:val="00F95820"/>
    <w:rsid w:val="00F95E76"/>
    <w:rsid w:val="00F963FB"/>
    <w:rsid w:val="00F96704"/>
    <w:rsid w:val="00F96705"/>
    <w:rsid w:val="00F9676D"/>
    <w:rsid w:val="00F96EB8"/>
    <w:rsid w:val="00F96FD1"/>
    <w:rsid w:val="00F971DA"/>
    <w:rsid w:val="00FA0146"/>
    <w:rsid w:val="00FA0F11"/>
    <w:rsid w:val="00FA118E"/>
    <w:rsid w:val="00FA13E6"/>
    <w:rsid w:val="00FA17F1"/>
    <w:rsid w:val="00FA193E"/>
    <w:rsid w:val="00FA2190"/>
    <w:rsid w:val="00FA2935"/>
    <w:rsid w:val="00FA2C5A"/>
    <w:rsid w:val="00FA33C1"/>
    <w:rsid w:val="00FA3732"/>
    <w:rsid w:val="00FA39CC"/>
    <w:rsid w:val="00FA3B23"/>
    <w:rsid w:val="00FA3BB9"/>
    <w:rsid w:val="00FA3CA5"/>
    <w:rsid w:val="00FA41DB"/>
    <w:rsid w:val="00FA44DA"/>
    <w:rsid w:val="00FA49D4"/>
    <w:rsid w:val="00FA4F44"/>
    <w:rsid w:val="00FA5344"/>
    <w:rsid w:val="00FA55DF"/>
    <w:rsid w:val="00FA5A7C"/>
    <w:rsid w:val="00FA61F9"/>
    <w:rsid w:val="00FA6518"/>
    <w:rsid w:val="00FA70C7"/>
    <w:rsid w:val="00FA7736"/>
    <w:rsid w:val="00FA7B3C"/>
    <w:rsid w:val="00FB01AB"/>
    <w:rsid w:val="00FB0EA6"/>
    <w:rsid w:val="00FB10AD"/>
    <w:rsid w:val="00FB11FF"/>
    <w:rsid w:val="00FB15E6"/>
    <w:rsid w:val="00FB1A62"/>
    <w:rsid w:val="00FB1B7B"/>
    <w:rsid w:val="00FB1C2C"/>
    <w:rsid w:val="00FB1C7E"/>
    <w:rsid w:val="00FB2135"/>
    <w:rsid w:val="00FB2227"/>
    <w:rsid w:val="00FB2270"/>
    <w:rsid w:val="00FB2748"/>
    <w:rsid w:val="00FB2873"/>
    <w:rsid w:val="00FB2C2E"/>
    <w:rsid w:val="00FB2F06"/>
    <w:rsid w:val="00FB2F90"/>
    <w:rsid w:val="00FB34F1"/>
    <w:rsid w:val="00FB3B0C"/>
    <w:rsid w:val="00FB412E"/>
    <w:rsid w:val="00FB4521"/>
    <w:rsid w:val="00FB4DBE"/>
    <w:rsid w:val="00FB56AC"/>
    <w:rsid w:val="00FB5B47"/>
    <w:rsid w:val="00FB6F88"/>
    <w:rsid w:val="00FB740F"/>
    <w:rsid w:val="00FB75A5"/>
    <w:rsid w:val="00FB7999"/>
    <w:rsid w:val="00FB7C0D"/>
    <w:rsid w:val="00FB7DA9"/>
    <w:rsid w:val="00FC0A06"/>
    <w:rsid w:val="00FC0D26"/>
    <w:rsid w:val="00FC0E12"/>
    <w:rsid w:val="00FC0E30"/>
    <w:rsid w:val="00FC1206"/>
    <w:rsid w:val="00FC292C"/>
    <w:rsid w:val="00FC2A2A"/>
    <w:rsid w:val="00FC2B6D"/>
    <w:rsid w:val="00FC3046"/>
    <w:rsid w:val="00FC3620"/>
    <w:rsid w:val="00FC40A8"/>
    <w:rsid w:val="00FC42C7"/>
    <w:rsid w:val="00FC461F"/>
    <w:rsid w:val="00FC4C05"/>
    <w:rsid w:val="00FC4DE3"/>
    <w:rsid w:val="00FC5233"/>
    <w:rsid w:val="00FC5A23"/>
    <w:rsid w:val="00FC5D40"/>
    <w:rsid w:val="00FC6737"/>
    <w:rsid w:val="00FC7002"/>
    <w:rsid w:val="00FC7584"/>
    <w:rsid w:val="00FC75CE"/>
    <w:rsid w:val="00FC779A"/>
    <w:rsid w:val="00FC77FD"/>
    <w:rsid w:val="00FD01DB"/>
    <w:rsid w:val="00FD0B01"/>
    <w:rsid w:val="00FD172A"/>
    <w:rsid w:val="00FD2DB2"/>
    <w:rsid w:val="00FD3958"/>
    <w:rsid w:val="00FD3A47"/>
    <w:rsid w:val="00FD3C2B"/>
    <w:rsid w:val="00FD427F"/>
    <w:rsid w:val="00FD436E"/>
    <w:rsid w:val="00FD48ED"/>
    <w:rsid w:val="00FD4BCF"/>
    <w:rsid w:val="00FD4D3C"/>
    <w:rsid w:val="00FD5714"/>
    <w:rsid w:val="00FD591E"/>
    <w:rsid w:val="00FD5F1A"/>
    <w:rsid w:val="00FD63C7"/>
    <w:rsid w:val="00FD63CA"/>
    <w:rsid w:val="00FD689C"/>
    <w:rsid w:val="00FD72A3"/>
    <w:rsid w:val="00FD7490"/>
    <w:rsid w:val="00FD759C"/>
    <w:rsid w:val="00FE0A81"/>
    <w:rsid w:val="00FE0BF6"/>
    <w:rsid w:val="00FE119E"/>
    <w:rsid w:val="00FE11C9"/>
    <w:rsid w:val="00FE1464"/>
    <w:rsid w:val="00FE21EA"/>
    <w:rsid w:val="00FE2242"/>
    <w:rsid w:val="00FE2263"/>
    <w:rsid w:val="00FE24CA"/>
    <w:rsid w:val="00FE261A"/>
    <w:rsid w:val="00FE2882"/>
    <w:rsid w:val="00FE2A5C"/>
    <w:rsid w:val="00FE4675"/>
    <w:rsid w:val="00FE46FE"/>
    <w:rsid w:val="00FE50BE"/>
    <w:rsid w:val="00FE5813"/>
    <w:rsid w:val="00FE5A52"/>
    <w:rsid w:val="00FE5CA6"/>
    <w:rsid w:val="00FE6202"/>
    <w:rsid w:val="00FE7508"/>
    <w:rsid w:val="00FE799C"/>
    <w:rsid w:val="00FE7C78"/>
    <w:rsid w:val="00FF02E5"/>
    <w:rsid w:val="00FF0863"/>
    <w:rsid w:val="00FF0F55"/>
    <w:rsid w:val="00FF1A1E"/>
    <w:rsid w:val="00FF1AEF"/>
    <w:rsid w:val="00FF226E"/>
    <w:rsid w:val="00FF2779"/>
    <w:rsid w:val="00FF2E3D"/>
    <w:rsid w:val="00FF31F2"/>
    <w:rsid w:val="00FF34CC"/>
    <w:rsid w:val="00FF385C"/>
    <w:rsid w:val="00FF3B4B"/>
    <w:rsid w:val="00FF48B1"/>
    <w:rsid w:val="00FF5BFE"/>
    <w:rsid w:val="00FF6E97"/>
    <w:rsid w:val="00FF79A8"/>
    <w:rsid w:val="00FF7CB0"/>
    <w:rsid w:val="0194B922"/>
    <w:rsid w:val="03418469"/>
    <w:rsid w:val="040BDF22"/>
    <w:rsid w:val="04C3DFB0"/>
    <w:rsid w:val="0506252B"/>
    <w:rsid w:val="0555BA19"/>
    <w:rsid w:val="06C94886"/>
    <w:rsid w:val="07CA9C11"/>
    <w:rsid w:val="0888D655"/>
    <w:rsid w:val="0D4FF6B8"/>
    <w:rsid w:val="0E11025F"/>
    <w:rsid w:val="0E84DBC8"/>
    <w:rsid w:val="0EDA5016"/>
    <w:rsid w:val="104A3993"/>
    <w:rsid w:val="10E04FE7"/>
    <w:rsid w:val="12FDC4E8"/>
    <w:rsid w:val="14762307"/>
    <w:rsid w:val="1543F4EF"/>
    <w:rsid w:val="158CFEC7"/>
    <w:rsid w:val="165B51A0"/>
    <w:rsid w:val="16704435"/>
    <w:rsid w:val="1760A7F1"/>
    <w:rsid w:val="1A41ACB4"/>
    <w:rsid w:val="1C0565F5"/>
    <w:rsid w:val="1DFD50D6"/>
    <w:rsid w:val="1E6AE9D5"/>
    <w:rsid w:val="1ECA9DF0"/>
    <w:rsid w:val="1F50308B"/>
    <w:rsid w:val="2110B269"/>
    <w:rsid w:val="226B0662"/>
    <w:rsid w:val="22A5BD7E"/>
    <w:rsid w:val="22EC1FFD"/>
    <w:rsid w:val="2890B660"/>
    <w:rsid w:val="2911A315"/>
    <w:rsid w:val="2A9A1CF7"/>
    <w:rsid w:val="2AD1D63E"/>
    <w:rsid w:val="2B19496D"/>
    <w:rsid w:val="2C00CDCB"/>
    <w:rsid w:val="2D5A2563"/>
    <w:rsid w:val="2DFB495D"/>
    <w:rsid w:val="2ED60EB3"/>
    <w:rsid w:val="2F13B4DA"/>
    <w:rsid w:val="30012C3C"/>
    <w:rsid w:val="30B0A211"/>
    <w:rsid w:val="30FCC658"/>
    <w:rsid w:val="3126670B"/>
    <w:rsid w:val="32215AD5"/>
    <w:rsid w:val="3309DE46"/>
    <w:rsid w:val="3395023B"/>
    <w:rsid w:val="34CA596F"/>
    <w:rsid w:val="36181766"/>
    <w:rsid w:val="38CCC0DB"/>
    <w:rsid w:val="3994E6EF"/>
    <w:rsid w:val="3B621F8C"/>
    <w:rsid w:val="3B6F6290"/>
    <w:rsid w:val="3BA36D1F"/>
    <w:rsid w:val="3D19C692"/>
    <w:rsid w:val="3DB07F08"/>
    <w:rsid w:val="3EBE325E"/>
    <w:rsid w:val="3EC2D4E7"/>
    <w:rsid w:val="3F21CE21"/>
    <w:rsid w:val="3F52B145"/>
    <w:rsid w:val="403EC0AD"/>
    <w:rsid w:val="40433FD5"/>
    <w:rsid w:val="408FF3E5"/>
    <w:rsid w:val="41B5BAB5"/>
    <w:rsid w:val="41C204D4"/>
    <w:rsid w:val="436B3DEE"/>
    <w:rsid w:val="4452786A"/>
    <w:rsid w:val="45862DC2"/>
    <w:rsid w:val="46D91677"/>
    <w:rsid w:val="49184954"/>
    <w:rsid w:val="49206F49"/>
    <w:rsid w:val="4AEBE0A5"/>
    <w:rsid w:val="4CB0ECD8"/>
    <w:rsid w:val="4D699EFA"/>
    <w:rsid w:val="4D8B1889"/>
    <w:rsid w:val="4E6D29F0"/>
    <w:rsid w:val="5089E676"/>
    <w:rsid w:val="56CC7F3F"/>
    <w:rsid w:val="58A6AF37"/>
    <w:rsid w:val="58AFFE39"/>
    <w:rsid w:val="5985641A"/>
    <w:rsid w:val="5A1D94A4"/>
    <w:rsid w:val="5ACB0336"/>
    <w:rsid w:val="5E3F52EA"/>
    <w:rsid w:val="5EC86CB0"/>
    <w:rsid w:val="60012692"/>
    <w:rsid w:val="607569A3"/>
    <w:rsid w:val="60E19561"/>
    <w:rsid w:val="62DB0E35"/>
    <w:rsid w:val="64944B6A"/>
    <w:rsid w:val="64B14D26"/>
    <w:rsid w:val="65403237"/>
    <w:rsid w:val="678BFD8C"/>
    <w:rsid w:val="67C9BA02"/>
    <w:rsid w:val="67E9E65A"/>
    <w:rsid w:val="684D6CE1"/>
    <w:rsid w:val="68EB97A1"/>
    <w:rsid w:val="6BC8D731"/>
    <w:rsid w:val="6BE51218"/>
    <w:rsid w:val="6CE08AC0"/>
    <w:rsid w:val="6FA092E0"/>
    <w:rsid w:val="6FB3E39D"/>
    <w:rsid w:val="7172D131"/>
    <w:rsid w:val="7270EFC4"/>
    <w:rsid w:val="72D469A2"/>
    <w:rsid w:val="730817CE"/>
    <w:rsid w:val="74A6AAC8"/>
    <w:rsid w:val="74AE4893"/>
    <w:rsid w:val="7639E6E4"/>
    <w:rsid w:val="76F22E84"/>
    <w:rsid w:val="7C1C4B26"/>
    <w:rsid w:val="7C259E46"/>
    <w:rsid w:val="7D9DADBC"/>
    <w:rsid w:val="7E993226"/>
    <w:rsid w:val="7F48EDCC"/>
    <w:rsid w:val="7F6A09D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2A01E2"/>
  <w15:docId w15:val="{6F83EC63-B94C-4F57-8E8B-9A9147317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pPr>
        <w:spacing w:line="480"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3"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8"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6FEB"/>
    <w:rPr>
      <w:kern w:val="24"/>
    </w:rPr>
  </w:style>
  <w:style w:type="paragraph" w:styleId="Heading1">
    <w:name w:val="heading 1"/>
    <w:basedOn w:val="Normal"/>
    <w:next w:val="Normal"/>
    <w:link w:val="Heading1Char"/>
    <w:uiPriority w:val="4"/>
    <w:qFormat/>
    <w:pPr>
      <w:keepNext/>
      <w:keepLines/>
      <w:ind w:firstLine="0"/>
      <w:jc w:val="center"/>
      <w:outlineLvl w:val="0"/>
    </w:pPr>
    <w:rPr>
      <w:rFonts w:asciiTheme="majorHAnsi" w:eastAsiaTheme="majorEastAsia" w:hAnsiTheme="majorHAnsi" w:cstheme="majorBidi"/>
      <w:b/>
      <w:bCs/>
    </w:rPr>
  </w:style>
  <w:style w:type="paragraph" w:styleId="Heading2">
    <w:name w:val="heading 2"/>
    <w:basedOn w:val="Normal"/>
    <w:next w:val="Normal"/>
    <w:link w:val="Heading2Char"/>
    <w:uiPriority w:val="4"/>
    <w:unhideWhenUsed/>
    <w:qFormat/>
    <w:pPr>
      <w:keepNext/>
      <w:keepLines/>
      <w:ind w:firstLine="0"/>
      <w:outlineLvl w:val="1"/>
    </w:pPr>
    <w:rPr>
      <w:rFonts w:asciiTheme="majorHAnsi" w:eastAsiaTheme="majorEastAsia" w:hAnsiTheme="majorHAnsi" w:cstheme="majorBidi"/>
      <w:b/>
      <w:bCs/>
    </w:rPr>
  </w:style>
  <w:style w:type="paragraph" w:styleId="Heading3">
    <w:name w:val="heading 3"/>
    <w:basedOn w:val="Normal"/>
    <w:next w:val="Normal"/>
    <w:link w:val="Heading3Char"/>
    <w:uiPriority w:val="4"/>
    <w:unhideWhenUsed/>
    <w:qFormat/>
    <w:rsid w:val="00BC4BDB"/>
    <w:pPr>
      <w:keepNext/>
      <w:keepLines/>
      <w:ind w:firstLine="0"/>
      <w:outlineLvl w:val="2"/>
    </w:pPr>
    <w:rPr>
      <w:rFonts w:asciiTheme="majorHAnsi" w:eastAsiaTheme="majorEastAsia" w:hAnsiTheme="majorHAnsi" w:cstheme="majorBidi"/>
      <w:b/>
      <w:bCs/>
      <w:i/>
      <w:iCs/>
    </w:rPr>
  </w:style>
  <w:style w:type="paragraph" w:styleId="Heading4">
    <w:name w:val="heading 4"/>
    <w:basedOn w:val="Normal"/>
    <w:next w:val="Normal"/>
    <w:link w:val="Heading4Char"/>
    <w:uiPriority w:val="4"/>
    <w:unhideWhenUsed/>
    <w:qFormat/>
    <w:pPr>
      <w:keepNext/>
      <w:keepLines/>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4"/>
    <w:unhideWhenUsed/>
    <w:qFormat/>
    <w:pPr>
      <w:keepNext/>
      <w:keepLines/>
      <w:outlineLvl w:val="4"/>
    </w:pPr>
    <w:rPr>
      <w:rFonts w:asciiTheme="majorHAnsi" w:eastAsiaTheme="majorEastAsia" w:hAnsiTheme="majorHAnsi" w:cstheme="majorBidi"/>
      <w:i/>
      <w:iCs/>
    </w:rPr>
  </w:style>
  <w:style w:type="paragraph" w:styleId="Heading6">
    <w:name w:val="heading 6"/>
    <w:basedOn w:val="Normal"/>
    <w:next w:val="Normal"/>
    <w:link w:val="Heading6Char"/>
    <w:uiPriority w:val="9"/>
    <w:semiHidden/>
    <w:qFormat/>
    <w:pPr>
      <w:keepNext/>
      <w:keepLines/>
      <w:spacing w:before="40"/>
      <w:ind w:firstLine="0"/>
      <w:outlineLvl w:val="5"/>
    </w:pPr>
    <w:rPr>
      <w:rFonts w:asciiTheme="majorHAnsi" w:eastAsiaTheme="majorEastAsia" w:hAnsiTheme="majorHAnsi" w:cstheme="majorBidi"/>
      <w:color w:val="6E6E6E" w:themeColor="accent1" w:themeShade="7F"/>
    </w:rPr>
  </w:style>
  <w:style w:type="paragraph" w:styleId="Heading7">
    <w:name w:val="heading 7"/>
    <w:basedOn w:val="Normal"/>
    <w:next w:val="Normal"/>
    <w:link w:val="Heading7Char"/>
    <w:uiPriority w:val="9"/>
    <w:semiHidden/>
    <w:qFormat/>
    <w:pPr>
      <w:keepNext/>
      <w:keepLines/>
      <w:spacing w:before="40"/>
      <w:ind w:firstLine="0"/>
      <w:outlineLvl w:val="6"/>
    </w:pPr>
    <w:rPr>
      <w:rFonts w:asciiTheme="majorHAnsi" w:eastAsiaTheme="majorEastAsia" w:hAnsiTheme="majorHAnsi" w:cstheme="majorBidi"/>
      <w:i/>
      <w:iCs/>
      <w:color w:val="6E6E6E" w:themeColor="accent1" w:themeShade="7F"/>
    </w:rPr>
  </w:style>
  <w:style w:type="paragraph" w:styleId="Heading8">
    <w:name w:val="heading 8"/>
    <w:basedOn w:val="Normal"/>
    <w:next w:val="Normal"/>
    <w:link w:val="Heading8Char"/>
    <w:uiPriority w:val="9"/>
    <w:semiHidden/>
    <w:qFormat/>
    <w:pPr>
      <w:keepNext/>
      <w:keepLines/>
      <w:spacing w:before="40"/>
      <w:ind w:firstLine="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qFormat/>
    <w:pPr>
      <w:keepNext/>
      <w:keepLines/>
      <w:spacing w:before="40"/>
      <w:ind w:firstLine="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Title">
    <w:name w:val="Section Title"/>
    <w:basedOn w:val="Normal"/>
    <w:next w:val="Normal"/>
    <w:uiPriority w:val="2"/>
    <w:qFormat/>
    <w:pPr>
      <w:pageBreakBefore/>
      <w:ind w:firstLine="0"/>
      <w:jc w:val="center"/>
      <w:outlineLvl w:val="0"/>
    </w:pPr>
    <w:rPr>
      <w:rFonts w:asciiTheme="majorHAnsi" w:eastAsiaTheme="majorEastAsia" w:hAnsiTheme="majorHAnsi" w:cstheme="majorBidi"/>
    </w:rPr>
  </w:style>
  <w:style w:type="paragraph" w:styleId="Header">
    <w:name w:val="header"/>
    <w:basedOn w:val="Normal"/>
    <w:link w:val="HeaderChar"/>
    <w:uiPriority w:val="99"/>
    <w:unhideWhenUsed/>
    <w:qFormat/>
    <w:pPr>
      <w:spacing w:line="240" w:lineRule="auto"/>
      <w:ind w:firstLine="0"/>
    </w:pPr>
  </w:style>
  <w:style w:type="character" w:customStyle="1" w:styleId="HeaderChar">
    <w:name w:val="Header Char"/>
    <w:basedOn w:val="DefaultParagraphFont"/>
    <w:link w:val="Header"/>
    <w:uiPriority w:val="99"/>
    <w:rPr>
      <w:kern w:val="24"/>
    </w:rPr>
  </w:style>
  <w:style w:type="character" w:styleId="Strong">
    <w:name w:val="Strong"/>
    <w:basedOn w:val="DefaultParagraphFont"/>
    <w:uiPriority w:val="22"/>
    <w:unhideWhenUsed/>
    <w:qFormat/>
    <w:rPr>
      <w:b w:val="0"/>
      <w:bCs w:val="0"/>
      <w:caps/>
      <w:smallCaps w:val="0"/>
    </w:rPr>
  </w:style>
  <w:style w:type="character" w:styleId="PlaceholderText">
    <w:name w:val="Placeholder Text"/>
    <w:basedOn w:val="DefaultParagraphFont"/>
    <w:uiPriority w:val="99"/>
    <w:semiHidden/>
    <w:rPr>
      <w:color w:val="808080"/>
    </w:rPr>
  </w:style>
  <w:style w:type="paragraph" w:styleId="NoSpacing">
    <w:name w:val="No Spacing"/>
    <w:aliases w:val="No Indent"/>
    <w:uiPriority w:val="3"/>
    <w:qFormat/>
    <w:pPr>
      <w:ind w:firstLine="0"/>
    </w:pPr>
  </w:style>
  <w:style w:type="character" w:customStyle="1" w:styleId="Heading1Char">
    <w:name w:val="Heading 1 Char"/>
    <w:basedOn w:val="DefaultParagraphFont"/>
    <w:link w:val="Heading1"/>
    <w:uiPriority w:val="4"/>
    <w:rPr>
      <w:rFonts w:asciiTheme="majorHAnsi" w:eastAsiaTheme="majorEastAsia" w:hAnsiTheme="majorHAnsi" w:cstheme="majorBidi"/>
      <w:b/>
      <w:bCs/>
      <w:kern w:val="24"/>
    </w:rPr>
  </w:style>
  <w:style w:type="character" w:customStyle="1" w:styleId="Heading2Char">
    <w:name w:val="Heading 2 Char"/>
    <w:basedOn w:val="DefaultParagraphFont"/>
    <w:link w:val="Heading2"/>
    <w:uiPriority w:val="4"/>
    <w:rPr>
      <w:rFonts w:asciiTheme="majorHAnsi" w:eastAsiaTheme="majorEastAsia" w:hAnsiTheme="majorHAnsi" w:cstheme="majorBidi"/>
      <w:b/>
      <w:bCs/>
      <w:kern w:val="24"/>
    </w:rPr>
  </w:style>
  <w:style w:type="paragraph" w:styleId="Title">
    <w:name w:val="Title"/>
    <w:basedOn w:val="Normal"/>
    <w:next w:val="Normal"/>
    <w:link w:val="TitleChar"/>
    <w:qFormat/>
    <w:pPr>
      <w:spacing w:before="2400"/>
      <w:ind w:firstLine="0"/>
      <w:contextualSpacing/>
      <w:jc w:val="center"/>
    </w:pPr>
    <w:rPr>
      <w:rFonts w:asciiTheme="majorHAnsi" w:eastAsiaTheme="majorEastAsia" w:hAnsiTheme="majorHAnsi" w:cstheme="majorBidi"/>
    </w:rPr>
  </w:style>
  <w:style w:type="character" w:customStyle="1" w:styleId="TitleChar">
    <w:name w:val="Title Char"/>
    <w:basedOn w:val="DefaultParagraphFont"/>
    <w:link w:val="Title"/>
    <w:rPr>
      <w:rFonts w:asciiTheme="majorHAnsi" w:eastAsiaTheme="majorEastAsia" w:hAnsiTheme="majorHAnsi" w:cstheme="majorBidi"/>
      <w:kern w:val="24"/>
    </w:rPr>
  </w:style>
  <w:style w:type="character" w:styleId="Emphasis">
    <w:name w:val="Emphasis"/>
    <w:basedOn w:val="DefaultParagraphFont"/>
    <w:uiPriority w:val="20"/>
    <w:unhideWhenUsed/>
    <w:qFormat/>
    <w:rPr>
      <w:i/>
      <w:iCs/>
    </w:rPr>
  </w:style>
  <w:style w:type="character" w:customStyle="1" w:styleId="Heading3Char">
    <w:name w:val="Heading 3 Char"/>
    <w:basedOn w:val="DefaultParagraphFont"/>
    <w:link w:val="Heading3"/>
    <w:uiPriority w:val="4"/>
    <w:rsid w:val="001D71DE"/>
    <w:rPr>
      <w:rFonts w:asciiTheme="majorHAnsi" w:eastAsiaTheme="majorEastAsia" w:hAnsiTheme="majorHAnsi" w:cstheme="majorBidi"/>
      <w:b/>
      <w:bCs/>
      <w:i/>
      <w:iCs/>
      <w:kern w:val="24"/>
    </w:rPr>
  </w:style>
  <w:style w:type="character" w:customStyle="1" w:styleId="Heading4Char">
    <w:name w:val="Heading 4 Char"/>
    <w:basedOn w:val="DefaultParagraphFont"/>
    <w:link w:val="Heading4"/>
    <w:uiPriority w:val="4"/>
    <w:rPr>
      <w:rFonts w:asciiTheme="majorHAnsi" w:eastAsiaTheme="majorEastAsia" w:hAnsiTheme="majorHAnsi" w:cstheme="majorBidi"/>
      <w:b/>
      <w:bCs/>
      <w:i/>
      <w:iCs/>
      <w:kern w:val="24"/>
    </w:rPr>
  </w:style>
  <w:style w:type="character" w:customStyle="1" w:styleId="Heading5Char">
    <w:name w:val="Heading 5 Char"/>
    <w:basedOn w:val="DefaultParagraphFont"/>
    <w:link w:val="Heading5"/>
    <w:uiPriority w:val="4"/>
    <w:rPr>
      <w:rFonts w:asciiTheme="majorHAnsi" w:eastAsiaTheme="majorEastAsia" w:hAnsiTheme="majorHAnsi" w:cstheme="majorBidi"/>
      <w:i/>
      <w:iCs/>
      <w:kern w:val="24"/>
    </w:rPr>
  </w:style>
  <w:style w:type="paragraph" w:styleId="BalloonText">
    <w:name w:val="Balloon Text"/>
    <w:basedOn w:val="Normal"/>
    <w:link w:val="BalloonTextChar"/>
    <w:uiPriority w:val="99"/>
    <w:semiHidden/>
    <w:unhideWhenUsed/>
    <w:pPr>
      <w:spacing w:line="240" w:lineRule="auto"/>
      <w:ind w:firstLine="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kern w:val="24"/>
      <w:sz w:val="18"/>
      <w:szCs w:val="18"/>
    </w:rPr>
  </w:style>
  <w:style w:type="paragraph" w:styleId="Bibliography">
    <w:name w:val="Bibliography"/>
    <w:basedOn w:val="Normal"/>
    <w:next w:val="Normal"/>
    <w:uiPriority w:val="37"/>
    <w:unhideWhenUsed/>
    <w:qFormat/>
    <w:pPr>
      <w:ind w:left="720" w:hanging="720"/>
    </w:pPr>
  </w:style>
  <w:style w:type="paragraph" w:styleId="BlockText">
    <w:name w:val="Block Text"/>
    <w:basedOn w:val="Normal"/>
    <w:uiPriority w:val="99"/>
    <w:semiHidden/>
    <w:unhideWhenUsed/>
    <w:pPr>
      <w:pBdr>
        <w:top w:val="single" w:sz="2" w:space="10" w:color="DDDDDD" w:themeColor="accent1" w:shadow="1"/>
        <w:left w:val="single" w:sz="2" w:space="10" w:color="DDDDDD" w:themeColor="accent1" w:shadow="1"/>
        <w:bottom w:val="single" w:sz="2" w:space="10" w:color="DDDDDD" w:themeColor="accent1" w:shadow="1"/>
        <w:right w:val="single" w:sz="2" w:space="10" w:color="DDDDDD" w:themeColor="accent1" w:shadow="1"/>
      </w:pBdr>
      <w:ind w:left="1152" w:right="1152" w:firstLine="0"/>
    </w:pPr>
    <w:rPr>
      <w:i/>
      <w:iCs/>
      <w:color w:val="DDDDDD" w:themeColor="accent1"/>
    </w:rPr>
  </w:style>
  <w:style w:type="paragraph" w:styleId="BodyText">
    <w:name w:val="Body Text"/>
    <w:basedOn w:val="Normal"/>
    <w:link w:val="BodyTextChar"/>
    <w:uiPriority w:val="99"/>
    <w:semiHidden/>
    <w:unhideWhenUsed/>
    <w:pPr>
      <w:spacing w:after="120"/>
      <w:ind w:firstLine="0"/>
    </w:pPr>
  </w:style>
  <w:style w:type="character" w:customStyle="1" w:styleId="BodyTextChar">
    <w:name w:val="Body Text Char"/>
    <w:basedOn w:val="DefaultParagraphFont"/>
    <w:link w:val="BodyText"/>
    <w:uiPriority w:val="99"/>
    <w:semiHidden/>
    <w:rPr>
      <w:kern w:val="24"/>
    </w:rPr>
  </w:style>
  <w:style w:type="paragraph" w:styleId="BodyText2">
    <w:name w:val="Body Text 2"/>
    <w:basedOn w:val="Normal"/>
    <w:link w:val="BodyText2Char"/>
    <w:uiPriority w:val="99"/>
    <w:semiHidden/>
    <w:unhideWhenUsed/>
    <w:pPr>
      <w:spacing w:after="120"/>
      <w:ind w:firstLine="0"/>
    </w:pPr>
  </w:style>
  <w:style w:type="character" w:customStyle="1" w:styleId="BodyText2Char">
    <w:name w:val="Body Text 2 Char"/>
    <w:basedOn w:val="DefaultParagraphFont"/>
    <w:link w:val="BodyText2"/>
    <w:uiPriority w:val="99"/>
    <w:semiHidden/>
    <w:rPr>
      <w:kern w:val="24"/>
    </w:rPr>
  </w:style>
  <w:style w:type="paragraph" w:styleId="BodyText3">
    <w:name w:val="Body Text 3"/>
    <w:basedOn w:val="Normal"/>
    <w:link w:val="BodyText3Char"/>
    <w:uiPriority w:val="99"/>
    <w:semiHidden/>
    <w:unhideWhenUsed/>
    <w:pPr>
      <w:spacing w:after="120"/>
      <w:ind w:firstLine="0"/>
    </w:pPr>
    <w:rPr>
      <w:sz w:val="16"/>
      <w:szCs w:val="16"/>
    </w:rPr>
  </w:style>
  <w:style w:type="character" w:customStyle="1" w:styleId="BodyText3Char">
    <w:name w:val="Body Text 3 Char"/>
    <w:basedOn w:val="DefaultParagraphFont"/>
    <w:link w:val="BodyText3"/>
    <w:uiPriority w:val="99"/>
    <w:semiHidden/>
    <w:rPr>
      <w:kern w:val="24"/>
      <w:sz w:val="16"/>
      <w:szCs w:val="16"/>
    </w:rPr>
  </w:style>
  <w:style w:type="paragraph" w:styleId="BodyTextFirstIndent">
    <w:name w:val="Body Text First Indent"/>
    <w:basedOn w:val="BodyText"/>
    <w:link w:val="BodyTextFirstIndentChar"/>
    <w:uiPriority w:val="99"/>
    <w:semiHidden/>
    <w:unhideWhenUsed/>
    <w:pPr>
      <w:spacing w:after="0"/>
    </w:pPr>
  </w:style>
  <w:style w:type="character" w:customStyle="1" w:styleId="BodyTextFirstIndentChar">
    <w:name w:val="Body Text First Indent Char"/>
    <w:basedOn w:val="BodyTextChar"/>
    <w:link w:val="BodyTextFirstIndent"/>
    <w:uiPriority w:val="99"/>
    <w:semiHidden/>
    <w:rPr>
      <w:kern w:val="24"/>
    </w:rPr>
  </w:style>
  <w:style w:type="paragraph" w:styleId="BodyTextIndent">
    <w:name w:val="Body Text Indent"/>
    <w:basedOn w:val="Normal"/>
    <w:link w:val="BodyTextIndentChar"/>
    <w:uiPriority w:val="99"/>
    <w:semiHidden/>
    <w:unhideWhenUsed/>
    <w:pPr>
      <w:spacing w:after="120"/>
      <w:ind w:left="360" w:firstLine="0"/>
    </w:pPr>
  </w:style>
  <w:style w:type="character" w:customStyle="1" w:styleId="BodyTextIndentChar">
    <w:name w:val="Body Text Indent Char"/>
    <w:basedOn w:val="DefaultParagraphFont"/>
    <w:link w:val="BodyTextIndent"/>
    <w:uiPriority w:val="99"/>
    <w:semiHidden/>
    <w:rPr>
      <w:kern w:val="24"/>
    </w:rPr>
  </w:style>
  <w:style w:type="paragraph" w:styleId="BodyTextFirstIndent2">
    <w:name w:val="Body Text First Indent 2"/>
    <w:basedOn w:val="BodyTextIndent"/>
    <w:link w:val="BodyTextFirstIndent2Char"/>
    <w:uiPriority w:val="99"/>
    <w:semiHidden/>
    <w:unhideWhenUsed/>
    <w:pPr>
      <w:spacing w:after="0"/>
    </w:pPr>
  </w:style>
  <w:style w:type="character" w:customStyle="1" w:styleId="BodyTextFirstIndent2Char">
    <w:name w:val="Body Text First Indent 2 Char"/>
    <w:basedOn w:val="BodyTextIndentChar"/>
    <w:link w:val="BodyTextFirstIndent2"/>
    <w:uiPriority w:val="99"/>
    <w:semiHidden/>
    <w:rPr>
      <w:kern w:val="24"/>
    </w:rPr>
  </w:style>
  <w:style w:type="paragraph" w:styleId="BodyTextIndent2">
    <w:name w:val="Body Text Indent 2"/>
    <w:basedOn w:val="Normal"/>
    <w:link w:val="BodyTextIndent2Char"/>
    <w:uiPriority w:val="99"/>
    <w:semiHidden/>
    <w:unhideWhenUsed/>
    <w:pPr>
      <w:spacing w:after="120"/>
      <w:ind w:left="360" w:firstLine="0"/>
    </w:pPr>
  </w:style>
  <w:style w:type="character" w:customStyle="1" w:styleId="BodyTextIndent2Char">
    <w:name w:val="Body Text Indent 2 Char"/>
    <w:basedOn w:val="DefaultParagraphFont"/>
    <w:link w:val="BodyTextIndent2"/>
    <w:uiPriority w:val="99"/>
    <w:semiHidden/>
    <w:rPr>
      <w:kern w:val="24"/>
    </w:rPr>
  </w:style>
  <w:style w:type="paragraph" w:styleId="BodyTextIndent3">
    <w:name w:val="Body Text Indent 3"/>
    <w:basedOn w:val="Normal"/>
    <w:link w:val="BodyTextIndent3Char"/>
    <w:uiPriority w:val="99"/>
    <w:semiHidden/>
    <w:unhideWhenUsed/>
    <w:pPr>
      <w:spacing w:after="120"/>
      <w:ind w:left="360" w:firstLine="0"/>
    </w:pPr>
    <w:rPr>
      <w:sz w:val="16"/>
      <w:szCs w:val="16"/>
    </w:rPr>
  </w:style>
  <w:style w:type="character" w:customStyle="1" w:styleId="BodyTextIndent3Char">
    <w:name w:val="Body Text Indent 3 Char"/>
    <w:basedOn w:val="DefaultParagraphFont"/>
    <w:link w:val="BodyTextIndent3"/>
    <w:uiPriority w:val="99"/>
    <w:semiHidden/>
    <w:rPr>
      <w:kern w:val="24"/>
      <w:sz w:val="16"/>
      <w:szCs w:val="16"/>
    </w:rPr>
  </w:style>
  <w:style w:type="paragraph" w:styleId="Caption">
    <w:name w:val="caption"/>
    <w:basedOn w:val="Normal"/>
    <w:next w:val="Normal"/>
    <w:uiPriority w:val="35"/>
    <w:semiHidden/>
    <w:unhideWhenUsed/>
    <w:qFormat/>
    <w:pPr>
      <w:spacing w:after="200" w:line="240" w:lineRule="auto"/>
      <w:ind w:firstLine="0"/>
    </w:pPr>
    <w:rPr>
      <w:i/>
      <w:iCs/>
      <w:color w:val="000000" w:themeColor="text2"/>
      <w:sz w:val="18"/>
      <w:szCs w:val="18"/>
    </w:rPr>
  </w:style>
  <w:style w:type="paragraph" w:styleId="Closing">
    <w:name w:val="Closing"/>
    <w:basedOn w:val="Normal"/>
    <w:link w:val="ClosingChar"/>
    <w:uiPriority w:val="99"/>
    <w:semiHidden/>
    <w:unhideWhenUsed/>
    <w:pPr>
      <w:spacing w:line="240" w:lineRule="auto"/>
      <w:ind w:left="4320" w:firstLine="0"/>
    </w:pPr>
  </w:style>
  <w:style w:type="character" w:customStyle="1" w:styleId="ClosingChar">
    <w:name w:val="Closing Char"/>
    <w:basedOn w:val="DefaultParagraphFont"/>
    <w:link w:val="Closing"/>
    <w:uiPriority w:val="99"/>
    <w:semiHidden/>
    <w:rPr>
      <w:kern w:val="24"/>
    </w:rPr>
  </w:style>
  <w:style w:type="paragraph" w:styleId="CommentText">
    <w:name w:val="annotation text"/>
    <w:basedOn w:val="Normal"/>
    <w:link w:val="CommentTextChar"/>
    <w:uiPriority w:val="99"/>
    <w:unhideWhenUsed/>
    <w:pPr>
      <w:spacing w:line="240" w:lineRule="auto"/>
      <w:ind w:firstLine="0"/>
    </w:pPr>
    <w:rPr>
      <w:sz w:val="20"/>
      <w:szCs w:val="20"/>
    </w:rPr>
  </w:style>
  <w:style w:type="character" w:customStyle="1" w:styleId="CommentTextChar">
    <w:name w:val="Comment Text Char"/>
    <w:basedOn w:val="DefaultParagraphFont"/>
    <w:link w:val="CommentText"/>
    <w:uiPriority w:val="99"/>
    <w:rPr>
      <w:kern w:val="24"/>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kern w:val="24"/>
      <w:sz w:val="20"/>
      <w:szCs w:val="20"/>
    </w:rPr>
  </w:style>
  <w:style w:type="paragraph" w:styleId="Date">
    <w:name w:val="Date"/>
    <w:basedOn w:val="Normal"/>
    <w:next w:val="Normal"/>
    <w:link w:val="DateChar"/>
    <w:uiPriority w:val="99"/>
    <w:semiHidden/>
    <w:unhideWhenUsed/>
    <w:pPr>
      <w:ind w:firstLine="0"/>
    </w:pPr>
  </w:style>
  <w:style w:type="character" w:customStyle="1" w:styleId="DateChar">
    <w:name w:val="Date Char"/>
    <w:basedOn w:val="DefaultParagraphFont"/>
    <w:link w:val="Date"/>
    <w:uiPriority w:val="99"/>
    <w:semiHidden/>
    <w:rPr>
      <w:kern w:val="24"/>
    </w:rPr>
  </w:style>
  <w:style w:type="paragraph" w:styleId="DocumentMap">
    <w:name w:val="Document Map"/>
    <w:basedOn w:val="Normal"/>
    <w:link w:val="DocumentMapChar"/>
    <w:uiPriority w:val="99"/>
    <w:semiHidden/>
    <w:unhideWhenUsed/>
    <w:pPr>
      <w:spacing w:line="240" w:lineRule="auto"/>
      <w:ind w:firstLine="0"/>
    </w:pPr>
    <w:rPr>
      <w:rFonts w:ascii="Segoe UI" w:hAnsi="Segoe UI" w:cs="Segoe UI"/>
      <w:sz w:val="16"/>
      <w:szCs w:val="16"/>
    </w:rPr>
  </w:style>
  <w:style w:type="character" w:customStyle="1" w:styleId="DocumentMapChar">
    <w:name w:val="Document Map Char"/>
    <w:basedOn w:val="DefaultParagraphFont"/>
    <w:link w:val="DocumentMap"/>
    <w:uiPriority w:val="99"/>
    <w:semiHidden/>
    <w:rPr>
      <w:rFonts w:ascii="Segoe UI" w:hAnsi="Segoe UI" w:cs="Segoe UI"/>
      <w:kern w:val="24"/>
      <w:sz w:val="16"/>
      <w:szCs w:val="16"/>
    </w:rPr>
  </w:style>
  <w:style w:type="paragraph" w:styleId="E-mailSignature">
    <w:name w:val="E-mail Signature"/>
    <w:basedOn w:val="Normal"/>
    <w:link w:val="E-mailSignatureChar"/>
    <w:uiPriority w:val="99"/>
    <w:semiHidden/>
    <w:unhideWhenUsed/>
    <w:pPr>
      <w:spacing w:line="240" w:lineRule="auto"/>
      <w:ind w:firstLine="0"/>
    </w:pPr>
  </w:style>
  <w:style w:type="character" w:customStyle="1" w:styleId="E-mailSignatureChar">
    <w:name w:val="E-mail Signature Char"/>
    <w:basedOn w:val="DefaultParagraphFont"/>
    <w:link w:val="E-mailSignature"/>
    <w:uiPriority w:val="99"/>
    <w:semiHidden/>
    <w:rPr>
      <w:kern w:val="24"/>
    </w:rPr>
  </w:style>
  <w:style w:type="paragraph" w:styleId="FootnoteText">
    <w:name w:val="footnote text"/>
    <w:basedOn w:val="Normal"/>
    <w:link w:val="FootnoteTextChar"/>
    <w:uiPriority w:val="99"/>
    <w:semiHidden/>
    <w:unhideWhenUsed/>
    <w:pPr>
      <w:spacing w:line="240" w:lineRule="auto"/>
    </w:pPr>
    <w:rPr>
      <w:sz w:val="20"/>
      <w:szCs w:val="20"/>
    </w:rPr>
  </w:style>
  <w:style w:type="character" w:customStyle="1" w:styleId="FootnoteTextChar">
    <w:name w:val="Footnote Text Char"/>
    <w:basedOn w:val="DefaultParagraphFont"/>
    <w:link w:val="FootnoteText"/>
    <w:uiPriority w:val="99"/>
    <w:semiHidden/>
    <w:rPr>
      <w:kern w:val="24"/>
      <w:sz w:val="20"/>
      <w:szCs w:val="20"/>
    </w:rPr>
  </w:style>
  <w:style w:type="paragraph" w:styleId="EnvelopeAddress">
    <w:name w:val="envelope address"/>
    <w:basedOn w:val="Normal"/>
    <w:uiPriority w:val="99"/>
    <w:semiHidden/>
    <w:unhideWhenUsed/>
    <w:pPr>
      <w:framePr w:w="7920" w:h="1980" w:hRule="exact" w:hSpace="180" w:wrap="auto" w:hAnchor="page" w:xAlign="center" w:yAlign="bottom"/>
      <w:spacing w:line="240" w:lineRule="auto"/>
      <w:ind w:left="2880" w:firstLine="0"/>
    </w:pPr>
    <w:rPr>
      <w:rFonts w:asciiTheme="majorHAnsi" w:eastAsiaTheme="majorEastAsia" w:hAnsiTheme="majorHAnsi" w:cstheme="majorBidi"/>
    </w:rPr>
  </w:style>
  <w:style w:type="paragraph" w:styleId="EnvelopeReturn">
    <w:name w:val="envelope return"/>
    <w:basedOn w:val="Normal"/>
    <w:uiPriority w:val="99"/>
    <w:semiHidden/>
    <w:unhideWhenUsed/>
    <w:pPr>
      <w:spacing w:line="240" w:lineRule="auto"/>
      <w:ind w:firstLine="0"/>
    </w:pPr>
    <w:rPr>
      <w:rFonts w:asciiTheme="majorHAnsi" w:eastAsiaTheme="majorEastAsia" w:hAnsiTheme="majorHAnsi" w:cstheme="majorBidi"/>
      <w:sz w:val="20"/>
      <w:szCs w:val="20"/>
    </w:rPr>
  </w:style>
  <w:style w:type="paragraph" w:styleId="Footer">
    <w:name w:val="footer"/>
    <w:basedOn w:val="Normal"/>
    <w:link w:val="FooterChar"/>
    <w:uiPriority w:val="99"/>
    <w:unhideWhenUsed/>
    <w:pPr>
      <w:tabs>
        <w:tab w:val="center" w:pos="4680"/>
        <w:tab w:val="right" w:pos="9360"/>
      </w:tabs>
      <w:spacing w:line="240" w:lineRule="auto"/>
      <w:ind w:firstLine="0"/>
    </w:pPr>
  </w:style>
  <w:style w:type="character" w:customStyle="1" w:styleId="FooterChar">
    <w:name w:val="Footer Char"/>
    <w:basedOn w:val="DefaultParagraphFont"/>
    <w:link w:val="Footer"/>
    <w:uiPriority w:val="99"/>
    <w:rPr>
      <w:kern w:val="24"/>
    </w:rPr>
  </w:style>
  <w:style w:type="table" w:styleId="TableGrid">
    <w:name w:val="Table Grid"/>
    <w:basedOn w:val="TableNormal"/>
    <w:uiPriority w:val="3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6Char">
    <w:name w:val="Heading 6 Char"/>
    <w:basedOn w:val="DefaultParagraphFont"/>
    <w:link w:val="Heading6"/>
    <w:uiPriority w:val="9"/>
    <w:semiHidden/>
    <w:rPr>
      <w:rFonts w:asciiTheme="majorHAnsi" w:eastAsiaTheme="majorEastAsia" w:hAnsiTheme="majorHAnsi" w:cstheme="majorBidi"/>
      <w:color w:val="6E6E6E" w:themeColor="accent1" w:themeShade="7F"/>
      <w:kern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6E6E6E" w:themeColor="accent1" w:themeShade="7F"/>
      <w:kern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272727" w:themeColor="text1" w:themeTint="D8"/>
      <w:kern w:val="24"/>
      <w:sz w:val="21"/>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272727" w:themeColor="text1" w:themeTint="D8"/>
      <w:kern w:val="24"/>
      <w:sz w:val="21"/>
      <w:szCs w:val="21"/>
    </w:rPr>
  </w:style>
  <w:style w:type="paragraph" w:styleId="HTMLAddress">
    <w:name w:val="HTML Address"/>
    <w:basedOn w:val="Normal"/>
    <w:link w:val="HTMLAddressChar"/>
    <w:uiPriority w:val="99"/>
    <w:semiHidden/>
    <w:unhideWhenUsed/>
    <w:pPr>
      <w:spacing w:line="240" w:lineRule="auto"/>
      <w:ind w:firstLine="0"/>
    </w:pPr>
    <w:rPr>
      <w:i/>
      <w:iCs/>
    </w:rPr>
  </w:style>
  <w:style w:type="character" w:customStyle="1" w:styleId="HTMLAddressChar">
    <w:name w:val="HTML Address Char"/>
    <w:basedOn w:val="DefaultParagraphFont"/>
    <w:link w:val="HTMLAddress"/>
    <w:uiPriority w:val="99"/>
    <w:semiHidden/>
    <w:rPr>
      <w:i/>
      <w:iCs/>
      <w:kern w:val="24"/>
    </w:rPr>
  </w:style>
  <w:style w:type="paragraph" w:styleId="HTMLPreformatted">
    <w:name w:val="HTML Preformatted"/>
    <w:basedOn w:val="Normal"/>
    <w:link w:val="HTMLPreformattedChar"/>
    <w:uiPriority w:val="99"/>
    <w:semiHidden/>
    <w:unhideWhenUsed/>
    <w:pPr>
      <w:spacing w:line="240" w:lineRule="auto"/>
      <w:ind w:firstLine="0"/>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Pr>
      <w:rFonts w:ascii="Consolas" w:hAnsi="Consolas" w:cs="Consolas"/>
      <w:kern w:val="24"/>
      <w:sz w:val="20"/>
      <w:szCs w:val="20"/>
    </w:rPr>
  </w:style>
  <w:style w:type="paragraph" w:styleId="Index1">
    <w:name w:val="index 1"/>
    <w:basedOn w:val="Normal"/>
    <w:next w:val="Normal"/>
    <w:autoRedefine/>
    <w:uiPriority w:val="99"/>
    <w:semiHidden/>
    <w:unhideWhenUsed/>
    <w:pPr>
      <w:spacing w:line="240" w:lineRule="auto"/>
      <w:ind w:left="240" w:firstLine="0"/>
    </w:pPr>
  </w:style>
  <w:style w:type="paragraph" w:styleId="Index2">
    <w:name w:val="index 2"/>
    <w:basedOn w:val="Normal"/>
    <w:next w:val="Normal"/>
    <w:autoRedefine/>
    <w:uiPriority w:val="99"/>
    <w:semiHidden/>
    <w:unhideWhenUsed/>
    <w:pPr>
      <w:spacing w:line="240" w:lineRule="auto"/>
      <w:ind w:left="480" w:firstLine="0"/>
    </w:pPr>
  </w:style>
  <w:style w:type="paragraph" w:styleId="Index3">
    <w:name w:val="index 3"/>
    <w:basedOn w:val="Normal"/>
    <w:next w:val="Normal"/>
    <w:autoRedefine/>
    <w:uiPriority w:val="99"/>
    <w:semiHidden/>
    <w:unhideWhenUsed/>
    <w:pPr>
      <w:spacing w:line="240" w:lineRule="auto"/>
      <w:ind w:left="720" w:firstLine="0"/>
    </w:pPr>
  </w:style>
  <w:style w:type="paragraph" w:styleId="Index4">
    <w:name w:val="index 4"/>
    <w:basedOn w:val="Normal"/>
    <w:next w:val="Normal"/>
    <w:autoRedefine/>
    <w:uiPriority w:val="99"/>
    <w:semiHidden/>
    <w:unhideWhenUsed/>
    <w:pPr>
      <w:spacing w:line="240" w:lineRule="auto"/>
      <w:ind w:left="960" w:firstLine="0"/>
    </w:pPr>
  </w:style>
  <w:style w:type="paragraph" w:styleId="Index5">
    <w:name w:val="index 5"/>
    <w:basedOn w:val="Normal"/>
    <w:next w:val="Normal"/>
    <w:autoRedefine/>
    <w:uiPriority w:val="99"/>
    <w:semiHidden/>
    <w:unhideWhenUsed/>
    <w:pPr>
      <w:spacing w:line="240" w:lineRule="auto"/>
      <w:ind w:left="1200" w:firstLine="0"/>
    </w:pPr>
  </w:style>
  <w:style w:type="paragraph" w:styleId="Index6">
    <w:name w:val="index 6"/>
    <w:basedOn w:val="Normal"/>
    <w:next w:val="Normal"/>
    <w:autoRedefine/>
    <w:uiPriority w:val="99"/>
    <w:semiHidden/>
    <w:unhideWhenUsed/>
    <w:pPr>
      <w:spacing w:line="240" w:lineRule="auto"/>
      <w:ind w:left="1440" w:firstLine="0"/>
    </w:pPr>
  </w:style>
  <w:style w:type="paragraph" w:styleId="Index7">
    <w:name w:val="index 7"/>
    <w:basedOn w:val="Normal"/>
    <w:next w:val="Normal"/>
    <w:autoRedefine/>
    <w:uiPriority w:val="99"/>
    <w:semiHidden/>
    <w:unhideWhenUsed/>
    <w:pPr>
      <w:spacing w:line="240" w:lineRule="auto"/>
      <w:ind w:left="1680" w:firstLine="0"/>
    </w:pPr>
  </w:style>
  <w:style w:type="paragraph" w:styleId="Index8">
    <w:name w:val="index 8"/>
    <w:basedOn w:val="Normal"/>
    <w:next w:val="Normal"/>
    <w:autoRedefine/>
    <w:uiPriority w:val="99"/>
    <w:semiHidden/>
    <w:unhideWhenUsed/>
    <w:pPr>
      <w:spacing w:line="240" w:lineRule="auto"/>
      <w:ind w:left="1920" w:firstLine="0"/>
    </w:pPr>
  </w:style>
  <w:style w:type="paragraph" w:styleId="Index9">
    <w:name w:val="index 9"/>
    <w:basedOn w:val="Normal"/>
    <w:next w:val="Normal"/>
    <w:autoRedefine/>
    <w:uiPriority w:val="99"/>
    <w:semiHidden/>
    <w:unhideWhenUsed/>
    <w:pPr>
      <w:spacing w:line="240" w:lineRule="auto"/>
      <w:ind w:left="2160" w:firstLine="0"/>
    </w:pPr>
  </w:style>
  <w:style w:type="paragraph" w:styleId="IndexHeading">
    <w:name w:val="index heading"/>
    <w:basedOn w:val="Normal"/>
    <w:next w:val="Index1"/>
    <w:uiPriority w:val="99"/>
    <w:semiHidden/>
    <w:unhideWhenUsed/>
    <w:pPr>
      <w:ind w:firstLine="0"/>
    </w:pPr>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unhideWhenUsed/>
    <w:qFormat/>
    <w:pPr>
      <w:pBdr>
        <w:top w:val="single" w:sz="4" w:space="10" w:color="DDDDDD" w:themeColor="accent1"/>
        <w:bottom w:val="single" w:sz="4" w:space="10" w:color="DDDDDD" w:themeColor="accent1"/>
      </w:pBdr>
      <w:spacing w:before="360" w:after="360"/>
      <w:ind w:left="864" w:right="864" w:firstLine="0"/>
      <w:jc w:val="center"/>
    </w:pPr>
    <w:rPr>
      <w:i/>
      <w:iCs/>
      <w:color w:val="DDDDDD" w:themeColor="accent1"/>
    </w:rPr>
  </w:style>
  <w:style w:type="character" w:customStyle="1" w:styleId="IntenseQuoteChar">
    <w:name w:val="Intense Quote Char"/>
    <w:basedOn w:val="DefaultParagraphFont"/>
    <w:link w:val="IntenseQuote"/>
    <w:uiPriority w:val="30"/>
    <w:semiHidden/>
    <w:rPr>
      <w:i/>
      <w:iCs/>
      <w:color w:val="DDDDDD" w:themeColor="accent1"/>
      <w:kern w:val="24"/>
    </w:rPr>
  </w:style>
  <w:style w:type="paragraph" w:styleId="List">
    <w:name w:val="List"/>
    <w:basedOn w:val="Normal"/>
    <w:uiPriority w:val="99"/>
    <w:semiHidden/>
    <w:unhideWhenUsed/>
    <w:pPr>
      <w:ind w:left="360" w:firstLine="0"/>
      <w:contextualSpacing/>
    </w:pPr>
  </w:style>
  <w:style w:type="paragraph" w:styleId="List2">
    <w:name w:val="List 2"/>
    <w:basedOn w:val="Normal"/>
    <w:uiPriority w:val="99"/>
    <w:semiHidden/>
    <w:unhideWhenUsed/>
    <w:pPr>
      <w:ind w:left="720" w:firstLine="0"/>
      <w:contextualSpacing/>
    </w:pPr>
  </w:style>
  <w:style w:type="paragraph" w:styleId="List3">
    <w:name w:val="List 3"/>
    <w:basedOn w:val="Normal"/>
    <w:uiPriority w:val="99"/>
    <w:semiHidden/>
    <w:unhideWhenUsed/>
    <w:pPr>
      <w:ind w:left="1080" w:firstLine="0"/>
      <w:contextualSpacing/>
    </w:pPr>
  </w:style>
  <w:style w:type="paragraph" w:styleId="List4">
    <w:name w:val="List 4"/>
    <w:basedOn w:val="Normal"/>
    <w:uiPriority w:val="99"/>
    <w:semiHidden/>
    <w:unhideWhenUsed/>
    <w:pPr>
      <w:ind w:left="1440" w:firstLine="0"/>
      <w:contextualSpacing/>
    </w:pPr>
  </w:style>
  <w:style w:type="paragraph" w:styleId="List5">
    <w:name w:val="List 5"/>
    <w:basedOn w:val="Normal"/>
    <w:uiPriority w:val="99"/>
    <w:semiHidden/>
    <w:unhideWhenUsed/>
    <w:pPr>
      <w:ind w:left="1800" w:firstLine="0"/>
      <w:contextualSpacing/>
    </w:pPr>
  </w:style>
  <w:style w:type="paragraph" w:styleId="ListBullet">
    <w:name w:val="List Bullet"/>
    <w:basedOn w:val="Normal"/>
    <w:uiPriority w:val="9"/>
    <w:unhideWhenUsed/>
    <w:qFormat/>
    <w:pPr>
      <w:numPr>
        <w:numId w:val="1"/>
      </w:numPr>
      <w:contextualSpacing/>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Bullet5">
    <w:name w:val="List Bullet 5"/>
    <w:basedOn w:val="Normal"/>
    <w:uiPriority w:val="99"/>
    <w:semiHidden/>
    <w:unhideWhenUsed/>
    <w:pPr>
      <w:numPr>
        <w:numId w:val="5"/>
      </w:numPr>
      <w:contextualSpacing/>
    </w:pPr>
  </w:style>
  <w:style w:type="paragraph" w:styleId="ListContinue">
    <w:name w:val="List Continue"/>
    <w:basedOn w:val="Normal"/>
    <w:uiPriority w:val="99"/>
    <w:semiHidden/>
    <w:unhideWhenUsed/>
    <w:pPr>
      <w:spacing w:after="120"/>
      <w:ind w:left="360" w:firstLine="0"/>
      <w:contextualSpacing/>
    </w:pPr>
  </w:style>
  <w:style w:type="paragraph" w:styleId="ListContinue2">
    <w:name w:val="List Continue 2"/>
    <w:basedOn w:val="Normal"/>
    <w:uiPriority w:val="99"/>
    <w:semiHidden/>
    <w:unhideWhenUsed/>
    <w:pPr>
      <w:spacing w:after="120"/>
      <w:ind w:left="720" w:firstLine="0"/>
      <w:contextualSpacing/>
    </w:pPr>
  </w:style>
  <w:style w:type="paragraph" w:styleId="ListContinue3">
    <w:name w:val="List Continue 3"/>
    <w:basedOn w:val="Normal"/>
    <w:uiPriority w:val="99"/>
    <w:semiHidden/>
    <w:unhideWhenUsed/>
    <w:pPr>
      <w:spacing w:after="120"/>
      <w:ind w:left="1080" w:firstLine="0"/>
      <w:contextualSpacing/>
    </w:pPr>
  </w:style>
  <w:style w:type="paragraph" w:styleId="ListContinue4">
    <w:name w:val="List Continue 4"/>
    <w:basedOn w:val="Normal"/>
    <w:uiPriority w:val="99"/>
    <w:semiHidden/>
    <w:unhideWhenUsed/>
    <w:pPr>
      <w:spacing w:after="120"/>
      <w:ind w:left="1440" w:firstLine="0"/>
      <w:contextualSpacing/>
    </w:pPr>
  </w:style>
  <w:style w:type="paragraph" w:styleId="ListContinue5">
    <w:name w:val="List Continue 5"/>
    <w:basedOn w:val="Normal"/>
    <w:uiPriority w:val="99"/>
    <w:semiHidden/>
    <w:unhideWhenUsed/>
    <w:pPr>
      <w:spacing w:after="120"/>
      <w:ind w:left="1800" w:firstLine="0"/>
      <w:contextualSpacing/>
    </w:pPr>
  </w:style>
  <w:style w:type="paragraph" w:styleId="ListNumber">
    <w:name w:val="List Number"/>
    <w:basedOn w:val="Normal"/>
    <w:uiPriority w:val="9"/>
    <w:unhideWhenUsed/>
    <w:qFormat/>
    <w:pPr>
      <w:numPr>
        <w:numId w:val="6"/>
      </w:numPr>
      <w:contextualSpacing/>
    </w:pPr>
  </w:style>
  <w:style w:type="paragraph" w:styleId="ListNumber2">
    <w:name w:val="List Number 2"/>
    <w:basedOn w:val="Normal"/>
    <w:uiPriority w:val="99"/>
    <w:semiHidden/>
    <w:unhideWhenUsed/>
    <w:pPr>
      <w:numPr>
        <w:numId w:val="7"/>
      </w:numPr>
      <w:contextualSpacing/>
    </w:pPr>
  </w:style>
  <w:style w:type="paragraph" w:styleId="ListNumber3">
    <w:name w:val="List Number 3"/>
    <w:basedOn w:val="Normal"/>
    <w:uiPriority w:val="99"/>
    <w:semiHidden/>
    <w:unhideWhenUsed/>
    <w:pPr>
      <w:numPr>
        <w:numId w:val="8"/>
      </w:numPr>
      <w:contextualSpacing/>
    </w:pPr>
  </w:style>
  <w:style w:type="paragraph" w:styleId="ListNumber4">
    <w:name w:val="List Number 4"/>
    <w:basedOn w:val="Normal"/>
    <w:uiPriority w:val="99"/>
    <w:semiHidden/>
    <w:unhideWhenUsed/>
    <w:pPr>
      <w:numPr>
        <w:numId w:val="9"/>
      </w:numPr>
      <w:contextualSpacing/>
    </w:pPr>
  </w:style>
  <w:style w:type="paragraph" w:styleId="ListNumber5">
    <w:name w:val="List Number 5"/>
    <w:basedOn w:val="Normal"/>
    <w:uiPriority w:val="99"/>
    <w:semiHidden/>
    <w:unhideWhenUsed/>
    <w:pPr>
      <w:numPr>
        <w:numId w:val="10"/>
      </w:numPr>
      <w:contextualSpacing/>
    </w:pPr>
  </w:style>
  <w:style w:type="paragraph" w:styleId="ListParagraph">
    <w:name w:val="List Paragraph"/>
    <w:basedOn w:val="Normal"/>
    <w:uiPriority w:val="34"/>
    <w:unhideWhenUsed/>
    <w:qFormat/>
    <w:pPr>
      <w:ind w:left="720" w:firstLine="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ind w:firstLine="0"/>
    </w:pPr>
    <w:rPr>
      <w:rFonts w:ascii="Consolas" w:hAnsi="Consolas" w:cs="Consolas"/>
      <w:kern w:val="24"/>
      <w:sz w:val="20"/>
      <w:szCs w:val="20"/>
    </w:rPr>
  </w:style>
  <w:style w:type="character" w:customStyle="1" w:styleId="MacroTextChar">
    <w:name w:val="Macro Text Char"/>
    <w:basedOn w:val="DefaultParagraphFont"/>
    <w:link w:val="MacroText"/>
    <w:uiPriority w:val="99"/>
    <w:semiHidden/>
    <w:rPr>
      <w:rFonts w:ascii="Consolas" w:hAnsi="Consolas" w:cs="Consolas"/>
      <w:kern w:val="24"/>
      <w:sz w:val="20"/>
      <w:szCs w:val="20"/>
    </w:r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line="240" w:lineRule="auto"/>
      <w:ind w:left="1080" w:firstLine="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kern w:val="24"/>
      <w:shd w:val="pct20" w:color="auto" w:fill="auto"/>
    </w:rPr>
  </w:style>
  <w:style w:type="paragraph" w:styleId="NormalWeb">
    <w:name w:val="Normal (Web)"/>
    <w:basedOn w:val="Normal"/>
    <w:uiPriority w:val="99"/>
    <w:unhideWhenUsed/>
    <w:pPr>
      <w:ind w:firstLine="0"/>
    </w:pPr>
    <w:rPr>
      <w:rFonts w:ascii="Times New Roman" w:hAnsi="Times New Roman" w:cs="Times New Roman"/>
    </w:rPr>
  </w:style>
  <w:style w:type="paragraph" w:styleId="NormalIndent">
    <w:name w:val="Normal Indent"/>
    <w:basedOn w:val="Normal"/>
    <w:uiPriority w:val="99"/>
    <w:semiHidden/>
    <w:unhideWhenUsed/>
    <w:pPr>
      <w:ind w:left="720" w:firstLine="0"/>
    </w:pPr>
  </w:style>
  <w:style w:type="paragraph" w:styleId="NoteHeading">
    <w:name w:val="Note Heading"/>
    <w:basedOn w:val="Normal"/>
    <w:next w:val="Normal"/>
    <w:link w:val="NoteHeadingChar"/>
    <w:uiPriority w:val="99"/>
    <w:semiHidden/>
    <w:unhideWhenUsed/>
    <w:pPr>
      <w:spacing w:line="240" w:lineRule="auto"/>
      <w:ind w:firstLine="0"/>
    </w:pPr>
  </w:style>
  <w:style w:type="character" w:customStyle="1" w:styleId="NoteHeadingChar">
    <w:name w:val="Note Heading Char"/>
    <w:basedOn w:val="DefaultParagraphFont"/>
    <w:link w:val="NoteHeading"/>
    <w:uiPriority w:val="99"/>
    <w:semiHidden/>
    <w:rPr>
      <w:kern w:val="24"/>
    </w:rPr>
  </w:style>
  <w:style w:type="paragraph" w:styleId="PlainText">
    <w:name w:val="Plain Text"/>
    <w:basedOn w:val="Normal"/>
    <w:link w:val="PlainTextChar"/>
    <w:uiPriority w:val="99"/>
    <w:semiHidden/>
    <w:unhideWhenUsed/>
    <w:pPr>
      <w:spacing w:line="240" w:lineRule="auto"/>
      <w:ind w:firstLine="0"/>
    </w:pPr>
    <w:rPr>
      <w:rFonts w:ascii="Consolas" w:hAnsi="Consolas" w:cs="Consolas"/>
      <w:sz w:val="21"/>
      <w:szCs w:val="21"/>
    </w:rPr>
  </w:style>
  <w:style w:type="character" w:customStyle="1" w:styleId="PlainTextChar">
    <w:name w:val="Plain Text Char"/>
    <w:basedOn w:val="DefaultParagraphFont"/>
    <w:link w:val="PlainText"/>
    <w:uiPriority w:val="99"/>
    <w:semiHidden/>
    <w:rPr>
      <w:rFonts w:ascii="Consolas" w:hAnsi="Consolas" w:cs="Consolas"/>
      <w:kern w:val="24"/>
      <w:sz w:val="21"/>
      <w:szCs w:val="21"/>
    </w:rPr>
  </w:style>
  <w:style w:type="paragraph" w:styleId="Quote">
    <w:name w:val="Quote"/>
    <w:basedOn w:val="Normal"/>
    <w:next w:val="Normal"/>
    <w:link w:val="QuoteChar"/>
    <w:uiPriority w:val="29"/>
    <w:semiHidden/>
    <w:unhideWhenUsed/>
    <w:qFormat/>
    <w:pPr>
      <w:spacing w:before="200" w:after="160"/>
      <w:ind w:left="864" w:right="864" w:firstLine="0"/>
      <w:jc w:val="center"/>
    </w:pPr>
    <w:rPr>
      <w:i/>
      <w:iCs/>
      <w:color w:val="404040" w:themeColor="text1" w:themeTint="BF"/>
    </w:rPr>
  </w:style>
  <w:style w:type="character" w:customStyle="1" w:styleId="QuoteChar">
    <w:name w:val="Quote Char"/>
    <w:basedOn w:val="DefaultParagraphFont"/>
    <w:link w:val="Quote"/>
    <w:uiPriority w:val="29"/>
    <w:semiHidden/>
    <w:rPr>
      <w:i/>
      <w:iCs/>
      <w:color w:val="404040" w:themeColor="text1" w:themeTint="BF"/>
      <w:kern w:val="24"/>
    </w:rPr>
  </w:style>
  <w:style w:type="paragraph" w:styleId="Salutation">
    <w:name w:val="Salutation"/>
    <w:basedOn w:val="Normal"/>
    <w:next w:val="Normal"/>
    <w:link w:val="SalutationChar"/>
    <w:uiPriority w:val="99"/>
    <w:semiHidden/>
    <w:unhideWhenUsed/>
    <w:pPr>
      <w:ind w:firstLine="0"/>
    </w:pPr>
  </w:style>
  <w:style w:type="character" w:customStyle="1" w:styleId="SalutationChar">
    <w:name w:val="Salutation Char"/>
    <w:basedOn w:val="DefaultParagraphFont"/>
    <w:link w:val="Salutation"/>
    <w:uiPriority w:val="99"/>
    <w:semiHidden/>
    <w:rPr>
      <w:kern w:val="24"/>
    </w:rPr>
  </w:style>
  <w:style w:type="paragraph" w:styleId="Signature">
    <w:name w:val="Signature"/>
    <w:basedOn w:val="Normal"/>
    <w:link w:val="SignatureChar"/>
    <w:uiPriority w:val="99"/>
    <w:semiHidden/>
    <w:unhideWhenUsed/>
    <w:pPr>
      <w:spacing w:line="240" w:lineRule="auto"/>
      <w:ind w:left="4320" w:firstLine="0"/>
    </w:pPr>
  </w:style>
  <w:style w:type="character" w:customStyle="1" w:styleId="SignatureChar">
    <w:name w:val="Signature Char"/>
    <w:basedOn w:val="DefaultParagraphFont"/>
    <w:link w:val="Signature"/>
    <w:uiPriority w:val="99"/>
    <w:semiHidden/>
    <w:rPr>
      <w:kern w:val="24"/>
    </w:rPr>
  </w:style>
  <w:style w:type="paragraph" w:customStyle="1" w:styleId="Title2">
    <w:name w:val="Title 2"/>
    <w:basedOn w:val="Normal"/>
    <w:uiPriority w:val="1"/>
    <w:qFormat/>
    <w:pPr>
      <w:ind w:firstLine="0"/>
      <w:jc w:val="center"/>
    </w:pPr>
  </w:style>
  <w:style w:type="paragraph" w:styleId="TableofAuthorities">
    <w:name w:val="table of authorities"/>
    <w:basedOn w:val="Normal"/>
    <w:next w:val="Normal"/>
    <w:uiPriority w:val="99"/>
    <w:semiHidden/>
    <w:unhideWhenUsed/>
    <w:pPr>
      <w:ind w:left="240" w:firstLine="0"/>
    </w:pPr>
  </w:style>
  <w:style w:type="paragraph" w:styleId="TableofFigures">
    <w:name w:val="table of figures"/>
    <w:basedOn w:val="Normal"/>
    <w:next w:val="Normal"/>
    <w:uiPriority w:val="99"/>
    <w:semiHidden/>
    <w:unhideWhenUsed/>
    <w:pPr>
      <w:ind w:firstLine="0"/>
    </w:pPr>
  </w:style>
  <w:style w:type="paragraph" w:styleId="TOAHeading">
    <w:name w:val="toa heading"/>
    <w:basedOn w:val="Normal"/>
    <w:next w:val="Normal"/>
    <w:uiPriority w:val="99"/>
    <w:semiHidden/>
    <w:unhideWhenUsed/>
    <w:pPr>
      <w:spacing w:before="120"/>
      <w:ind w:firstLine="0"/>
    </w:pPr>
    <w:rPr>
      <w:rFonts w:asciiTheme="majorHAnsi" w:eastAsiaTheme="majorEastAsia" w:hAnsiTheme="majorHAnsi" w:cstheme="majorBidi"/>
      <w:b/>
      <w:bCs/>
    </w:rPr>
  </w:style>
  <w:style w:type="paragraph" w:styleId="TOC4">
    <w:name w:val="toc 4"/>
    <w:basedOn w:val="Normal"/>
    <w:next w:val="Normal"/>
    <w:autoRedefine/>
    <w:uiPriority w:val="39"/>
    <w:unhideWhenUsed/>
    <w:pPr>
      <w:ind w:left="720"/>
    </w:pPr>
    <w:rPr>
      <w:rFonts w:cstheme="minorHAnsi"/>
      <w:sz w:val="20"/>
      <w:szCs w:val="20"/>
    </w:rPr>
  </w:style>
  <w:style w:type="paragraph" w:styleId="TOC5">
    <w:name w:val="toc 5"/>
    <w:basedOn w:val="Normal"/>
    <w:next w:val="Normal"/>
    <w:autoRedefine/>
    <w:uiPriority w:val="39"/>
    <w:unhideWhenUsed/>
    <w:pPr>
      <w:ind w:left="960"/>
    </w:pPr>
    <w:rPr>
      <w:rFonts w:cstheme="minorHAnsi"/>
      <w:sz w:val="20"/>
      <w:szCs w:val="20"/>
    </w:rPr>
  </w:style>
  <w:style w:type="paragraph" w:styleId="TOC6">
    <w:name w:val="toc 6"/>
    <w:basedOn w:val="Normal"/>
    <w:next w:val="Normal"/>
    <w:autoRedefine/>
    <w:uiPriority w:val="39"/>
    <w:unhideWhenUsed/>
    <w:pPr>
      <w:ind w:left="1200"/>
    </w:pPr>
    <w:rPr>
      <w:rFonts w:cstheme="minorHAnsi"/>
      <w:sz w:val="20"/>
      <w:szCs w:val="20"/>
    </w:rPr>
  </w:style>
  <w:style w:type="paragraph" w:styleId="TOC7">
    <w:name w:val="toc 7"/>
    <w:basedOn w:val="Normal"/>
    <w:next w:val="Normal"/>
    <w:autoRedefine/>
    <w:uiPriority w:val="39"/>
    <w:unhideWhenUsed/>
    <w:pPr>
      <w:ind w:left="1440"/>
    </w:pPr>
    <w:rPr>
      <w:rFonts w:cstheme="minorHAnsi"/>
      <w:sz w:val="20"/>
      <w:szCs w:val="20"/>
    </w:rPr>
  </w:style>
  <w:style w:type="paragraph" w:styleId="TOC8">
    <w:name w:val="toc 8"/>
    <w:basedOn w:val="Normal"/>
    <w:next w:val="Normal"/>
    <w:autoRedefine/>
    <w:uiPriority w:val="39"/>
    <w:unhideWhenUsed/>
    <w:pPr>
      <w:ind w:left="1680"/>
    </w:pPr>
    <w:rPr>
      <w:rFonts w:cstheme="minorHAnsi"/>
      <w:sz w:val="20"/>
      <w:szCs w:val="20"/>
    </w:rPr>
  </w:style>
  <w:style w:type="paragraph" w:styleId="TOC9">
    <w:name w:val="toc 9"/>
    <w:basedOn w:val="Normal"/>
    <w:next w:val="Normal"/>
    <w:autoRedefine/>
    <w:uiPriority w:val="39"/>
    <w:unhideWhenUsed/>
    <w:pPr>
      <w:ind w:left="1920"/>
    </w:pPr>
    <w:rPr>
      <w:rFonts w:cstheme="minorHAnsi"/>
      <w:sz w:val="20"/>
      <w:szCs w:val="20"/>
    </w:rPr>
  </w:style>
  <w:style w:type="character" w:styleId="EndnoteReference">
    <w:name w:val="endnote reference"/>
    <w:basedOn w:val="DefaultParagraphFont"/>
    <w:uiPriority w:val="99"/>
    <w:semiHidden/>
    <w:unhideWhenUsed/>
    <w:rPr>
      <w:vertAlign w:val="superscript"/>
    </w:rPr>
  </w:style>
  <w:style w:type="character" w:styleId="FootnoteReference">
    <w:name w:val="footnote reference"/>
    <w:basedOn w:val="DefaultParagraphFont"/>
    <w:uiPriority w:val="99"/>
    <w:unhideWhenUsed/>
    <w:qFormat/>
    <w:rPr>
      <w:vertAlign w:val="superscript"/>
    </w:rPr>
  </w:style>
  <w:style w:type="table" w:customStyle="1" w:styleId="APAReport">
    <w:name w:val="APA Report"/>
    <w:basedOn w:val="TableNormal"/>
    <w:uiPriority w:val="99"/>
    <w:pPr>
      <w:spacing w:line="240" w:lineRule="auto"/>
      <w:ind w:firstLine="0"/>
    </w:pPr>
    <w:tblPr>
      <w:tblBorders>
        <w:top w:val="single" w:sz="12" w:space="0" w:color="auto"/>
        <w:bottom w:val="single" w:sz="12" w:space="0" w:color="auto"/>
      </w:tblBorders>
    </w:tblPr>
    <w:tblStylePr w:type="firstRow">
      <w:tblPr/>
      <w:tcPr>
        <w:tcBorders>
          <w:top w:val="single" w:sz="12" w:space="0" w:color="auto"/>
          <w:left w:val="nil"/>
          <w:bottom w:val="single" w:sz="12" w:space="0" w:color="auto"/>
          <w:right w:val="nil"/>
          <w:insideH w:val="nil"/>
          <w:insideV w:val="nil"/>
          <w:tl2br w:val="nil"/>
          <w:tr2bl w:val="nil"/>
        </w:tcBorders>
      </w:tcPr>
    </w:tblStylePr>
  </w:style>
  <w:style w:type="paragraph" w:customStyle="1" w:styleId="TableFigure">
    <w:name w:val="Table/Figure"/>
    <w:basedOn w:val="Normal"/>
    <w:uiPriority w:val="4"/>
    <w:qFormat/>
    <w:pPr>
      <w:spacing w:before="240"/>
      <w:ind w:firstLine="0"/>
      <w:contextualSpacing/>
    </w:pPr>
  </w:style>
  <w:style w:type="paragraph" w:styleId="TOCHeading">
    <w:name w:val="TOC Heading"/>
    <w:basedOn w:val="Heading1"/>
    <w:next w:val="Normal"/>
    <w:uiPriority w:val="39"/>
    <w:unhideWhenUsed/>
    <w:qFormat/>
    <w:pPr>
      <w:keepNext w:val="0"/>
      <w:keepLines w:val="0"/>
      <w:pageBreakBefore/>
      <w:outlineLvl w:val="9"/>
    </w:pPr>
    <w:rPr>
      <w:b w:val="0"/>
      <w:bCs w:val="0"/>
      <w:kern w:val="0"/>
      <w:szCs w:val="32"/>
      <w:lang w:eastAsia="en-US"/>
    </w:rPr>
  </w:style>
  <w:style w:type="paragraph" w:styleId="TOC1">
    <w:name w:val="toc 1"/>
    <w:basedOn w:val="Normal"/>
    <w:next w:val="Normal"/>
    <w:autoRedefine/>
    <w:uiPriority w:val="39"/>
    <w:unhideWhenUsed/>
    <w:pPr>
      <w:spacing w:before="120"/>
    </w:pPr>
    <w:rPr>
      <w:rFonts w:cstheme="minorHAnsi"/>
      <w:b/>
      <w:bCs/>
      <w:i/>
      <w:iCs/>
    </w:rPr>
  </w:style>
  <w:style w:type="paragraph" w:styleId="TOC2">
    <w:name w:val="toc 2"/>
    <w:basedOn w:val="Normal"/>
    <w:next w:val="Normal"/>
    <w:autoRedefine/>
    <w:uiPriority w:val="39"/>
    <w:unhideWhenUsed/>
    <w:rsid w:val="00416FDA"/>
    <w:pPr>
      <w:tabs>
        <w:tab w:val="right" w:leader="dot" w:pos="9061"/>
      </w:tabs>
      <w:spacing w:before="120"/>
      <w:ind w:left="240"/>
    </w:pPr>
    <w:rPr>
      <w:rFonts w:cstheme="minorHAnsi"/>
      <w:noProof/>
    </w:rPr>
  </w:style>
  <w:style w:type="paragraph" w:styleId="TOC3">
    <w:name w:val="toc 3"/>
    <w:basedOn w:val="Normal"/>
    <w:next w:val="Normal"/>
    <w:autoRedefine/>
    <w:uiPriority w:val="39"/>
    <w:unhideWhenUsed/>
    <w:rsid w:val="002C735C"/>
    <w:pPr>
      <w:ind w:left="480"/>
    </w:pPr>
    <w:rPr>
      <w:rFonts w:cstheme="minorHAnsi"/>
      <w:sz w:val="20"/>
      <w:szCs w:val="20"/>
    </w:rPr>
  </w:style>
  <w:style w:type="character" w:styleId="Hyperlink">
    <w:name w:val="Hyperlink"/>
    <w:basedOn w:val="DefaultParagraphFont"/>
    <w:uiPriority w:val="99"/>
    <w:unhideWhenUsed/>
    <w:rPr>
      <w:color w:val="5F5F5F" w:themeColor="hyperlink"/>
      <w:u w:val="single"/>
    </w:rPr>
  </w:style>
  <w:style w:type="character" w:styleId="CommentReference">
    <w:name w:val="annotation reference"/>
    <w:basedOn w:val="DefaultParagraphFont"/>
    <w:uiPriority w:val="99"/>
    <w:semiHidden/>
    <w:unhideWhenUsed/>
    <w:rsid w:val="005136C3"/>
    <w:rPr>
      <w:sz w:val="16"/>
      <w:szCs w:val="16"/>
    </w:rPr>
  </w:style>
  <w:style w:type="character" w:customStyle="1" w:styleId="mi">
    <w:name w:val="mi"/>
    <w:basedOn w:val="DefaultParagraphFont"/>
    <w:rsid w:val="00863DF9"/>
  </w:style>
  <w:style w:type="character" w:customStyle="1" w:styleId="mn">
    <w:name w:val="mn"/>
    <w:basedOn w:val="DefaultParagraphFont"/>
    <w:rsid w:val="00863DF9"/>
  </w:style>
  <w:style w:type="character" w:customStyle="1" w:styleId="mjxassistivemathml">
    <w:name w:val="mjx_assistive_mathml"/>
    <w:basedOn w:val="DefaultParagraphFont"/>
    <w:rsid w:val="00863DF9"/>
  </w:style>
  <w:style w:type="paragraph" w:styleId="Revision">
    <w:name w:val="Revision"/>
    <w:hidden/>
    <w:uiPriority w:val="99"/>
    <w:semiHidden/>
    <w:rsid w:val="00183734"/>
    <w:pPr>
      <w:spacing w:line="240" w:lineRule="auto"/>
      <w:ind w:firstLine="0"/>
    </w:pPr>
    <w:rPr>
      <w:kern w:val="24"/>
    </w:rPr>
  </w:style>
  <w:style w:type="character" w:styleId="PageNumber">
    <w:name w:val="page number"/>
    <w:basedOn w:val="DefaultParagraphFont"/>
    <w:uiPriority w:val="99"/>
    <w:semiHidden/>
    <w:unhideWhenUsed/>
    <w:rsid w:val="00A65D37"/>
  </w:style>
  <w:style w:type="character" w:customStyle="1" w:styleId="apple-converted-space">
    <w:name w:val="apple-converted-space"/>
    <w:basedOn w:val="DefaultParagraphFont"/>
    <w:rsid w:val="005C3466"/>
  </w:style>
  <w:style w:type="character" w:customStyle="1" w:styleId="UnresolvedMention1">
    <w:name w:val="Unresolved Mention1"/>
    <w:basedOn w:val="DefaultParagraphFont"/>
    <w:uiPriority w:val="99"/>
    <w:semiHidden/>
    <w:unhideWhenUsed/>
    <w:rsid w:val="006E51AB"/>
    <w:rPr>
      <w:color w:val="605E5C"/>
      <w:shd w:val="clear" w:color="auto" w:fill="E1DFDD"/>
    </w:rPr>
  </w:style>
  <w:style w:type="character" w:customStyle="1" w:styleId="identifier">
    <w:name w:val="identifier"/>
    <w:basedOn w:val="DefaultParagraphFont"/>
    <w:rsid w:val="00621794"/>
  </w:style>
  <w:style w:type="paragraph" w:customStyle="1" w:styleId="Default">
    <w:name w:val="Default"/>
    <w:rsid w:val="002A02D5"/>
    <w:pPr>
      <w:autoSpaceDE w:val="0"/>
      <w:autoSpaceDN w:val="0"/>
      <w:adjustRightInd w:val="0"/>
      <w:spacing w:line="240" w:lineRule="auto"/>
      <w:ind w:firstLine="0"/>
    </w:pPr>
    <w:rPr>
      <w:rFonts w:ascii="Arial" w:hAnsi="Arial" w:cs="Arial"/>
      <w:color w:val="000000"/>
      <w:lang w:val="en-GB"/>
    </w:rPr>
  </w:style>
  <w:style w:type="character" w:customStyle="1" w:styleId="figure">
    <w:name w:val="figure"/>
    <w:basedOn w:val="DefaultParagraphFont"/>
    <w:rsid w:val="001F3ED5"/>
  </w:style>
  <w:style w:type="table" w:styleId="PlainTable2">
    <w:name w:val="Plain Table 2"/>
    <w:basedOn w:val="TableNormal"/>
    <w:uiPriority w:val="42"/>
    <w:rsid w:val="006F16CC"/>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c-timestamplabel">
    <w:name w:val="c-timestamp__label"/>
    <w:basedOn w:val="DefaultParagraphFont"/>
    <w:rsid w:val="00CA3619"/>
  </w:style>
  <w:style w:type="character" w:styleId="UnresolvedMention">
    <w:name w:val="Unresolved Mention"/>
    <w:basedOn w:val="DefaultParagraphFont"/>
    <w:uiPriority w:val="99"/>
    <w:semiHidden/>
    <w:unhideWhenUsed/>
    <w:rsid w:val="00CF447C"/>
    <w:rPr>
      <w:color w:val="605E5C"/>
      <w:shd w:val="clear" w:color="auto" w:fill="E1DFDD"/>
    </w:rPr>
  </w:style>
  <w:style w:type="character" w:customStyle="1" w:styleId="italicized-text">
    <w:name w:val="italicized-text"/>
    <w:basedOn w:val="DefaultParagraphFont"/>
    <w:rsid w:val="00A50E8E"/>
  </w:style>
  <w:style w:type="character" w:styleId="FollowedHyperlink">
    <w:name w:val="FollowedHyperlink"/>
    <w:basedOn w:val="DefaultParagraphFont"/>
    <w:uiPriority w:val="99"/>
    <w:semiHidden/>
    <w:unhideWhenUsed/>
    <w:rsid w:val="000F7125"/>
    <w:rPr>
      <w:color w:val="919191" w:themeColor="followedHyperlink"/>
      <w:u w:val="single"/>
    </w:rPr>
  </w:style>
  <w:style w:type="paragraph" w:customStyle="1" w:styleId="dx-doi">
    <w:name w:val="dx-doi"/>
    <w:basedOn w:val="Normal"/>
    <w:rsid w:val="009F62AB"/>
    <w:pPr>
      <w:spacing w:before="100" w:beforeAutospacing="1" w:after="100" w:afterAutospacing="1" w:line="240" w:lineRule="auto"/>
      <w:ind w:firstLine="0"/>
    </w:pPr>
    <w:rPr>
      <w:rFonts w:ascii="Times New Roman" w:eastAsia="Times New Roman" w:hAnsi="Times New Roman" w:cs="Times New Roman"/>
      <w:kern w:val="0"/>
      <w:lang w:val="en-AU" w:eastAsia="en-AU"/>
    </w:rPr>
  </w:style>
  <w:style w:type="character" w:styleId="LineNumber">
    <w:name w:val="line number"/>
    <w:basedOn w:val="DefaultParagraphFont"/>
    <w:uiPriority w:val="99"/>
    <w:semiHidden/>
    <w:unhideWhenUsed/>
    <w:rsid w:val="003C2299"/>
  </w:style>
  <w:style w:type="paragraph" w:customStyle="1" w:styleId="nova-legacy-e-listitem">
    <w:name w:val="nova-legacy-e-list__item"/>
    <w:basedOn w:val="Normal"/>
    <w:rsid w:val="00102361"/>
    <w:pPr>
      <w:spacing w:before="100" w:beforeAutospacing="1" w:after="100" w:afterAutospacing="1" w:line="240" w:lineRule="auto"/>
      <w:ind w:firstLine="0"/>
    </w:pPr>
    <w:rPr>
      <w:rFonts w:ascii="Times New Roman" w:eastAsia="Times New Roman" w:hAnsi="Times New Roman" w:cs="Times New Roman"/>
      <w:kern w:val="0"/>
      <w:lang w:val="en-AU" w:eastAsia="en-AU"/>
    </w:rPr>
  </w:style>
  <w:style w:type="character" w:customStyle="1" w:styleId="anchor-text">
    <w:name w:val="anchor-text"/>
    <w:basedOn w:val="DefaultParagraphFont"/>
    <w:rsid w:val="009A01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41549">
      <w:bodyDiv w:val="1"/>
      <w:marLeft w:val="0"/>
      <w:marRight w:val="0"/>
      <w:marTop w:val="0"/>
      <w:marBottom w:val="0"/>
      <w:divBdr>
        <w:top w:val="none" w:sz="0" w:space="0" w:color="auto"/>
        <w:left w:val="none" w:sz="0" w:space="0" w:color="auto"/>
        <w:bottom w:val="none" w:sz="0" w:space="0" w:color="auto"/>
        <w:right w:val="none" w:sz="0" w:space="0" w:color="auto"/>
      </w:divBdr>
    </w:div>
    <w:div w:id="44792622">
      <w:bodyDiv w:val="1"/>
      <w:marLeft w:val="0"/>
      <w:marRight w:val="0"/>
      <w:marTop w:val="0"/>
      <w:marBottom w:val="0"/>
      <w:divBdr>
        <w:top w:val="none" w:sz="0" w:space="0" w:color="auto"/>
        <w:left w:val="none" w:sz="0" w:space="0" w:color="auto"/>
        <w:bottom w:val="none" w:sz="0" w:space="0" w:color="auto"/>
        <w:right w:val="none" w:sz="0" w:space="0" w:color="auto"/>
      </w:divBdr>
    </w:div>
    <w:div w:id="103887240">
      <w:bodyDiv w:val="1"/>
      <w:marLeft w:val="0"/>
      <w:marRight w:val="0"/>
      <w:marTop w:val="0"/>
      <w:marBottom w:val="0"/>
      <w:divBdr>
        <w:top w:val="none" w:sz="0" w:space="0" w:color="auto"/>
        <w:left w:val="none" w:sz="0" w:space="0" w:color="auto"/>
        <w:bottom w:val="none" w:sz="0" w:space="0" w:color="auto"/>
        <w:right w:val="none" w:sz="0" w:space="0" w:color="auto"/>
      </w:divBdr>
    </w:div>
    <w:div w:id="116677877">
      <w:bodyDiv w:val="1"/>
      <w:marLeft w:val="0"/>
      <w:marRight w:val="0"/>
      <w:marTop w:val="0"/>
      <w:marBottom w:val="0"/>
      <w:divBdr>
        <w:top w:val="none" w:sz="0" w:space="0" w:color="auto"/>
        <w:left w:val="none" w:sz="0" w:space="0" w:color="auto"/>
        <w:bottom w:val="none" w:sz="0" w:space="0" w:color="auto"/>
        <w:right w:val="none" w:sz="0" w:space="0" w:color="auto"/>
      </w:divBdr>
    </w:div>
    <w:div w:id="130095204">
      <w:bodyDiv w:val="1"/>
      <w:marLeft w:val="0"/>
      <w:marRight w:val="0"/>
      <w:marTop w:val="0"/>
      <w:marBottom w:val="0"/>
      <w:divBdr>
        <w:top w:val="none" w:sz="0" w:space="0" w:color="auto"/>
        <w:left w:val="none" w:sz="0" w:space="0" w:color="auto"/>
        <w:bottom w:val="none" w:sz="0" w:space="0" w:color="auto"/>
        <w:right w:val="none" w:sz="0" w:space="0" w:color="auto"/>
      </w:divBdr>
    </w:div>
    <w:div w:id="130904967">
      <w:bodyDiv w:val="1"/>
      <w:marLeft w:val="0"/>
      <w:marRight w:val="0"/>
      <w:marTop w:val="0"/>
      <w:marBottom w:val="0"/>
      <w:divBdr>
        <w:top w:val="none" w:sz="0" w:space="0" w:color="auto"/>
        <w:left w:val="none" w:sz="0" w:space="0" w:color="auto"/>
        <w:bottom w:val="none" w:sz="0" w:space="0" w:color="auto"/>
        <w:right w:val="none" w:sz="0" w:space="0" w:color="auto"/>
      </w:divBdr>
    </w:div>
    <w:div w:id="140272059">
      <w:bodyDiv w:val="1"/>
      <w:marLeft w:val="0"/>
      <w:marRight w:val="0"/>
      <w:marTop w:val="0"/>
      <w:marBottom w:val="0"/>
      <w:divBdr>
        <w:top w:val="none" w:sz="0" w:space="0" w:color="auto"/>
        <w:left w:val="none" w:sz="0" w:space="0" w:color="auto"/>
        <w:bottom w:val="none" w:sz="0" w:space="0" w:color="auto"/>
        <w:right w:val="none" w:sz="0" w:space="0" w:color="auto"/>
      </w:divBdr>
    </w:div>
    <w:div w:id="142432652">
      <w:bodyDiv w:val="1"/>
      <w:marLeft w:val="0"/>
      <w:marRight w:val="0"/>
      <w:marTop w:val="0"/>
      <w:marBottom w:val="0"/>
      <w:divBdr>
        <w:top w:val="none" w:sz="0" w:space="0" w:color="auto"/>
        <w:left w:val="none" w:sz="0" w:space="0" w:color="auto"/>
        <w:bottom w:val="none" w:sz="0" w:space="0" w:color="auto"/>
        <w:right w:val="none" w:sz="0" w:space="0" w:color="auto"/>
      </w:divBdr>
    </w:div>
    <w:div w:id="148134600">
      <w:bodyDiv w:val="1"/>
      <w:marLeft w:val="0"/>
      <w:marRight w:val="0"/>
      <w:marTop w:val="0"/>
      <w:marBottom w:val="0"/>
      <w:divBdr>
        <w:top w:val="none" w:sz="0" w:space="0" w:color="auto"/>
        <w:left w:val="none" w:sz="0" w:space="0" w:color="auto"/>
        <w:bottom w:val="none" w:sz="0" w:space="0" w:color="auto"/>
        <w:right w:val="none" w:sz="0" w:space="0" w:color="auto"/>
      </w:divBdr>
    </w:div>
    <w:div w:id="247160665">
      <w:bodyDiv w:val="1"/>
      <w:marLeft w:val="0"/>
      <w:marRight w:val="0"/>
      <w:marTop w:val="0"/>
      <w:marBottom w:val="0"/>
      <w:divBdr>
        <w:top w:val="none" w:sz="0" w:space="0" w:color="auto"/>
        <w:left w:val="none" w:sz="0" w:space="0" w:color="auto"/>
        <w:bottom w:val="none" w:sz="0" w:space="0" w:color="auto"/>
        <w:right w:val="none" w:sz="0" w:space="0" w:color="auto"/>
      </w:divBdr>
    </w:div>
    <w:div w:id="249582794">
      <w:bodyDiv w:val="1"/>
      <w:marLeft w:val="0"/>
      <w:marRight w:val="0"/>
      <w:marTop w:val="0"/>
      <w:marBottom w:val="0"/>
      <w:divBdr>
        <w:top w:val="none" w:sz="0" w:space="0" w:color="auto"/>
        <w:left w:val="none" w:sz="0" w:space="0" w:color="auto"/>
        <w:bottom w:val="none" w:sz="0" w:space="0" w:color="auto"/>
        <w:right w:val="none" w:sz="0" w:space="0" w:color="auto"/>
      </w:divBdr>
    </w:div>
    <w:div w:id="251596066">
      <w:bodyDiv w:val="1"/>
      <w:marLeft w:val="0"/>
      <w:marRight w:val="0"/>
      <w:marTop w:val="0"/>
      <w:marBottom w:val="0"/>
      <w:divBdr>
        <w:top w:val="none" w:sz="0" w:space="0" w:color="auto"/>
        <w:left w:val="none" w:sz="0" w:space="0" w:color="auto"/>
        <w:bottom w:val="none" w:sz="0" w:space="0" w:color="auto"/>
        <w:right w:val="none" w:sz="0" w:space="0" w:color="auto"/>
      </w:divBdr>
    </w:div>
    <w:div w:id="271517580">
      <w:bodyDiv w:val="1"/>
      <w:marLeft w:val="0"/>
      <w:marRight w:val="0"/>
      <w:marTop w:val="0"/>
      <w:marBottom w:val="0"/>
      <w:divBdr>
        <w:top w:val="none" w:sz="0" w:space="0" w:color="auto"/>
        <w:left w:val="none" w:sz="0" w:space="0" w:color="auto"/>
        <w:bottom w:val="none" w:sz="0" w:space="0" w:color="auto"/>
        <w:right w:val="none" w:sz="0" w:space="0" w:color="auto"/>
      </w:divBdr>
    </w:div>
    <w:div w:id="274483437">
      <w:bodyDiv w:val="1"/>
      <w:marLeft w:val="0"/>
      <w:marRight w:val="0"/>
      <w:marTop w:val="0"/>
      <w:marBottom w:val="0"/>
      <w:divBdr>
        <w:top w:val="none" w:sz="0" w:space="0" w:color="auto"/>
        <w:left w:val="none" w:sz="0" w:space="0" w:color="auto"/>
        <w:bottom w:val="none" w:sz="0" w:space="0" w:color="auto"/>
        <w:right w:val="none" w:sz="0" w:space="0" w:color="auto"/>
      </w:divBdr>
    </w:div>
    <w:div w:id="282809850">
      <w:bodyDiv w:val="1"/>
      <w:marLeft w:val="0"/>
      <w:marRight w:val="0"/>
      <w:marTop w:val="0"/>
      <w:marBottom w:val="0"/>
      <w:divBdr>
        <w:top w:val="none" w:sz="0" w:space="0" w:color="auto"/>
        <w:left w:val="none" w:sz="0" w:space="0" w:color="auto"/>
        <w:bottom w:val="none" w:sz="0" w:space="0" w:color="auto"/>
        <w:right w:val="none" w:sz="0" w:space="0" w:color="auto"/>
      </w:divBdr>
    </w:div>
    <w:div w:id="309752597">
      <w:bodyDiv w:val="1"/>
      <w:marLeft w:val="0"/>
      <w:marRight w:val="0"/>
      <w:marTop w:val="0"/>
      <w:marBottom w:val="0"/>
      <w:divBdr>
        <w:top w:val="none" w:sz="0" w:space="0" w:color="auto"/>
        <w:left w:val="none" w:sz="0" w:space="0" w:color="auto"/>
        <w:bottom w:val="none" w:sz="0" w:space="0" w:color="auto"/>
        <w:right w:val="none" w:sz="0" w:space="0" w:color="auto"/>
      </w:divBdr>
    </w:div>
    <w:div w:id="314185887">
      <w:bodyDiv w:val="1"/>
      <w:marLeft w:val="0"/>
      <w:marRight w:val="0"/>
      <w:marTop w:val="0"/>
      <w:marBottom w:val="0"/>
      <w:divBdr>
        <w:top w:val="none" w:sz="0" w:space="0" w:color="auto"/>
        <w:left w:val="none" w:sz="0" w:space="0" w:color="auto"/>
        <w:bottom w:val="none" w:sz="0" w:space="0" w:color="auto"/>
        <w:right w:val="none" w:sz="0" w:space="0" w:color="auto"/>
      </w:divBdr>
    </w:div>
    <w:div w:id="359355645">
      <w:bodyDiv w:val="1"/>
      <w:marLeft w:val="0"/>
      <w:marRight w:val="0"/>
      <w:marTop w:val="0"/>
      <w:marBottom w:val="0"/>
      <w:divBdr>
        <w:top w:val="none" w:sz="0" w:space="0" w:color="auto"/>
        <w:left w:val="none" w:sz="0" w:space="0" w:color="auto"/>
        <w:bottom w:val="none" w:sz="0" w:space="0" w:color="auto"/>
        <w:right w:val="none" w:sz="0" w:space="0" w:color="auto"/>
      </w:divBdr>
    </w:div>
    <w:div w:id="362243875">
      <w:bodyDiv w:val="1"/>
      <w:marLeft w:val="0"/>
      <w:marRight w:val="0"/>
      <w:marTop w:val="0"/>
      <w:marBottom w:val="0"/>
      <w:divBdr>
        <w:top w:val="none" w:sz="0" w:space="0" w:color="auto"/>
        <w:left w:val="none" w:sz="0" w:space="0" w:color="auto"/>
        <w:bottom w:val="none" w:sz="0" w:space="0" w:color="auto"/>
        <w:right w:val="none" w:sz="0" w:space="0" w:color="auto"/>
      </w:divBdr>
    </w:div>
    <w:div w:id="367292930">
      <w:bodyDiv w:val="1"/>
      <w:marLeft w:val="0"/>
      <w:marRight w:val="0"/>
      <w:marTop w:val="0"/>
      <w:marBottom w:val="0"/>
      <w:divBdr>
        <w:top w:val="none" w:sz="0" w:space="0" w:color="auto"/>
        <w:left w:val="none" w:sz="0" w:space="0" w:color="auto"/>
        <w:bottom w:val="none" w:sz="0" w:space="0" w:color="auto"/>
        <w:right w:val="none" w:sz="0" w:space="0" w:color="auto"/>
      </w:divBdr>
    </w:div>
    <w:div w:id="443697945">
      <w:bodyDiv w:val="1"/>
      <w:marLeft w:val="0"/>
      <w:marRight w:val="0"/>
      <w:marTop w:val="0"/>
      <w:marBottom w:val="0"/>
      <w:divBdr>
        <w:top w:val="none" w:sz="0" w:space="0" w:color="auto"/>
        <w:left w:val="none" w:sz="0" w:space="0" w:color="auto"/>
        <w:bottom w:val="none" w:sz="0" w:space="0" w:color="auto"/>
        <w:right w:val="none" w:sz="0" w:space="0" w:color="auto"/>
      </w:divBdr>
    </w:div>
    <w:div w:id="456607757">
      <w:bodyDiv w:val="1"/>
      <w:marLeft w:val="0"/>
      <w:marRight w:val="0"/>
      <w:marTop w:val="0"/>
      <w:marBottom w:val="0"/>
      <w:divBdr>
        <w:top w:val="none" w:sz="0" w:space="0" w:color="auto"/>
        <w:left w:val="none" w:sz="0" w:space="0" w:color="auto"/>
        <w:bottom w:val="none" w:sz="0" w:space="0" w:color="auto"/>
        <w:right w:val="none" w:sz="0" w:space="0" w:color="auto"/>
      </w:divBdr>
    </w:div>
    <w:div w:id="466551532">
      <w:bodyDiv w:val="1"/>
      <w:marLeft w:val="0"/>
      <w:marRight w:val="0"/>
      <w:marTop w:val="0"/>
      <w:marBottom w:val="0"/>
      <w:divBdr>
        <w:top w:val="none" w:sz="0" w:space="0" w:color="auto"/>
        <w:left w:val="none" w:sz="0" w:space="0" w:color="auto"/>
        <w:bottom w:val="none" w:sz="0" w:space="0" w:color="auto"/>
        <w:right w:val="none" w:sz="0" w:space="0" w:color="auto"/>
      </w:divBdr>
    </w:div>
    <w:div w:id="488790050">
      <w:bodyDiv w:val="1"/>
      <w:marLeft w:val="0"/>
      <w:marRight w:val="0"/>
      <w:marTop w:val="0"/>
      <w:marBottom w:val="0"/>
      <w:divBdr>
        <w:top w:val="none" w:sz="0" w:space="0" w:color="auto"/>
        <w:left w:val="none" w:sz="0" w:space="0" w:color="auto"/>
        <w:bottom w:val="none" w:sz="0" w:space="0" w:color="auto"/>
        <w:right w:val="none" w:sz="0" w:space="0" w:color="auto"/>
      </w:divBdr>
    </w:div>
    <w:div w:id="495800111">
      <w:bodyDiv w:val="1"/>
      <w:marLeft w:val="0"/>
      <w:marRight w:val="0"/>
      <w:marTop w:val="0"/>
      <w:marBottom w:val="0"/>
      <w:divBdr>
        <w:top w:val="none" w:sz="0" w:space="0" w:color="auto"/>
        <w:left w:val="none" w:sz="0" w:space="0" w:color="auto"/>
        <w:bottom w:val="none" w:sz="0" w:space="0" w:color="auto"/>
        <w:right w:val="none" w:sz="0" w:space="0" w:color="auto"/>
      </w:divBdr>
    </w:div>
    <w:div w:id="534468094">
      <w:bodyDiv w:val="1"/>
      <w:marLeft w:val="0"/>
      <w:marRight w:val="0"/>
      <w:marTop w:val="0"/>
      <w:marBottom w:val="0"/>
      <w:divBdr>
        <w:top w:val="none" w:sz="0" w:space="0" w:color="auto"/>
        <w:left w:val="none" w:sz="0" w:space="0" w:color="auto"/>
        <w:bottom w:val="none" w:sz="0" w:space="0" w:color="auto"/>
        <w:right w:val="none" w:sz="0" w:space="0" w:color="auto"/>
      </w:divBdr>
    </w:div>
    <w:div w:id="534543843">
      <w:bodyDiv w:val="1"/>
      <w:marLeft w:val="0"/>
      <w:marRight w:val="0"/>
      <w:marTop w:val="0"/>
      <w:marBottom w:val="0"/>
      <w:divBdr>
        <w:top w:val="none" w:sz="0" w:space="0" w:color="auto"/>
        <w:left w:val="none" w:sz="0" w:space="0" w:color="auto"/>
        <w:bottom w:val="none" w:sz="0" w:space="0" w:color="auto"/>
        <w:right w:val="none" w:sz="0" w:space="0" w:color="auto"/>
      </w:divBdr>
    </w:div>
    <w:div w:id="538205419">
      <w:bodyDiv w:val="1"/>
      <w:marLeft w:val="0"/>
      <w:marRight w:val="0"/>
      <w:marTop w:val="0"/>
      <w:marBottom w:val="0"/>
      <w:divBdr>
        <w:top w:val="none" w:sz="0" w:space="0" w:color="auto"/>
        <w:left w:val="none" w:sz="0" w:space="0" w:color="auto"/>
        <w:bottom w:val="none" w:sz="0" w:space="0" w:color="auto"/>
        <w:right w:val="none" w:sz="0" w:space="0" w:color="auto"/>
      </w:divBdr>
    </w:div>
    <w:div w:id="550653088">
      <w:bodyDiv w:val="1"/>
      <w:marLeft w:val="0"/>
      <w:marRight w:val="0"/>
      <w:marTop w:val="0"/>
      <w:marBottom w:val="0"/>
      <w:divBdr>
        <w:top w:val="none" w:sz="0" w:space="0" w:color="auto"/>
        <w:left w:val="none" w:sz="0" w:space="0" w:color="auto"/>
        <w:bottom w:val="none" w:sz="0" w:space="0" w:color="auto"/>
        <w:right w:val="none" w:sz="0" w:space="0" w:color="auto"/>
      </w:divBdr>
    </w:div>
    <w:div w:id="579944111">
      <w:bodyDiv w:val="1"/>
      <w:marLeft w:val="0"/>
      <w:marRight w:val="0"/>
      <w:marTop w:val="0"/>
      <w:marBottom w:val="0"/>
      <w:divBdr>
        <w:top w:val="none" w:sz="0" w:space="0" w:color="auto"/>
        <w:left w:val="none" w:sz="0" w:space="0" w:color="auto"/>
        <w:bottom w:val="none" w:sz="0" w:space="0" w:color="auto"/>
        <w:right w:val="none" w:sz="0" w:space="0" w:color="auto"/>
      </w:divBdr>
    </w:div>
    <w:div w:id="620574803">
      <w:bodyDiv w:val="1"/>
      <w:marLeft w:val="0"/>
      <w:marRight w:val="0"/>
      <w:marTop w:val="0"/>
      <w:marBottom w:val="0"/>
      <w:divBdr>
        <w:top w:val="none" w:sz="0" w:space="0" w:color="auto"/>
        <w:left w:val="none" w:sz="0" w:space="0" w:color="auto"/>
        <w:bottom w:val="none" w:sz="0" w:space="0" w:color="auto"/>
        <w:right w:val="none" w:sz="0" w:space="0" w:color="auto"/>
      </w:divBdr>
    </w:div>
    <w:div w:id="656690609">
      <w:bodyDiv w:val="1"/>
      <w:marLeft w:val="0"/>
      <w:marRight w:val="0"/>
      <w:marTop w:val="0"/>
      <w:marBottom w:val="0"/>
      <w:divBdr>
        <w:top w:val="none" w:sz="0" w:space="0" w:color="auto"/>
        <w:left w:val="none" w:sz="0" w:space="0" w:color="auto"/>
        <w:bottom w:val="none" w:sz="0" w:space="0" w:color="auto"/>
        <w:right w:val="none" w:sz="0" w:space="0" w:color="auto"/>
      </w:divBdr>
    </w:div>
    <w:div w:id="668825515">
      <w:bodyDiv w:val="1"/>
      <w:marLeft w:val="0"/>
      <w:marRight w:val="0"/>
      <w:marTop w:val="0"/>
      <w:marBottom w:val="0"/>
      <w:divBdr>
        <w:top w:val="none" w:sz="0" w:space="0" w:color="auto"/>
        <w:left w:val="none" w:sz="0" w:space="0" w:color="auto"/>
        <w:bottom w:val="none" w:sz="0" w:space="0" w:color="auto"/>
        <w:right w:val="none" w:sz="0" w:space="0" w:color="auto"/>
      </w:divBdr>
    </w:div>
    <w:div w:id="682901687">
      <w:bodyDiv w:val="1"/>
      <w:marLeft w:val="0"/>
      <w:marRight w:val="0"/>
      <w:marTop w:val="0"/>
      <w:marBottom w:val="0"/>
      <w:divBdr>
        <w:top w:val="none" w:sz="0" w:space="0" w:color="auto"/>
        <w:left w:val="none" w:sz="0" w:space="0" w:color="auto"/>
        <w:bottom w:val="none" w:sz="0" w:space="0" w:color="auto"/>
        <w:right w:val="none" w:sz="0" w:space="0" w:color="auto"/>
      </w:divBdr>
    </w:div>
    <w:div w:id="693337431">
      <w:bodyDiv w:val="1"/>
      <w:marLeft w:val="0"/>
      <w:marRight w:val="0"/>
      <w:marTop w:val="0"/>
      <w:marBottom w:val="0"/>
      <w:divBdr>
        <w:top w:val="none" w:sz="0" w:space="0" w:color="auto"/>
        <w:left w:val="none" w:sz="0" w:space="0" w:color="auto"/>
        <w:bottom w:val="none" w:sz="0" w:space="0" w:color="auto"/>
        <w:right w:val="none" w:sz="0" w:space="0" w:color="auto"/>
      </w:divBdr>
    </w:div>
    <w:div w:id="693699306">
      <w:bodyDiv w:val="1"/>
      <w:marLeft w:val="0"/>
      <w:marRight w:val="0"/>
      <w:marTop w:val="0"/>
      <w:marBottom w:val="0"/>
      <w:divBdr>
        <w:top w:val="none" w:sz="0" w:space="0" w:color="auto"/>
        <w:left w:val="none" w:sz="0" w:space="0" w:color="auto"/>
        <w:bottom w:val="none" w:sz="0" w:space="0" w:color="auto"/>
        <w:right w:val="none" w:sz="0" w:space="0" w:color="auto"/>
      </w:divBdr>
    </w:div>
    <w:div w:id="726027359">
      <w:bodyDiv w:val="1"/>
      <w:marLeft w:val="0"/>
      <w:marRight w:val="0"/>
      <w:marTop w:val="0"/>
      <w:marBottom w:val="0"/>
      <w:divBdr>
        <w:top w:val="none" w:sz="0" w:space="0" w:color="auto"/>
        <w:left w:val="none" w:sz="0" w:space="0" w:color="auto"/>
        <w:bottom w:val="none" w:sz="0" w:space="0" w:color="auto"/>
        <w:right w:val="none" w:sz="0" w:space="0" w:color="auto"/>
      </w:divBdr>
    </w:div>
    <w:div w:id="727607132">
      <w:bodyDiv w:val="1"/>
      <w:marLeft w:val="0"/>
      <w:marRight w:val="0"/>
      <w:marTop w:val="0"/>
      <w:marBottom w:val="0"/>
      <w:divBdr>
        <w:top w:val="none" w:sz="0" w:space="0" w:color="auto"/>
        <w:left w:val="none" w:sz="0" w:space="0" w:color="auto"/>
        <w:bottom w:val="none" w:sz="0" w:space="0" w:color="auto"/>
        <w:right w:val="none" w:sz="0" w:space="0" w:color="auto"/>
      </w:divBdr>
    </w:div>
    <w:div w:id="744960809">
      <w:bodyDiv w:val="1"/>
      <w:marLeft w:val="0"/>
      <w:marRight w:val="0"/>
      <w:marTop w:val="0"/>
      <w:marBottom w:val="0"/>
      <w:divBdr>
        <w:top w:val="none" w:sz="0" w:space="0" w:color="auto"/>
        <w:left w:val="none" w:sz="0" w:space="0" w:color="auto"/>
        <w:bottom w:val="none" w:sz="0" w:space="0" w:color="auto"/>
        <w:right w:val="none" w:sz="0" w:space="0" w:color="auto"/>
      </w:divBdr>
    </w:div>
    <w:div w:id="794641615">
      <w:bodyDiv w:val="1"/>
      <w:marLeft w:val="0"/>
      <w:marRight w:val="0"/>
      <w:marTop w:val="0"/>
      <w:marBottom w:val="0"/>
      <w:divBdr>
        <w:top w:val="none" w:sz="0" w:space="0" w:color="auto"/>
        <w:left w:val="none" w:sz="0" w:space="0" w:color="auto"/>
        <w:bottom w:val="none" w:sz="0" w:space="0" w:color="auto"/>
        <w:right w:val="none" w:sz="0" w:space="0" w:color="auto"/>
      </w:divBdr>
    </w:div>
    <w:div w:id="817917589">
      <w:bodyDiv w:val="1"/>
      <w:marLeft w:val="0"/>
      <w:marRight w:val="0"/>
      <w:marTop w:val="0"/>
      <w:marBottom w:val="0"/>
      <w:divBdr>
        <w:top w:val="none" w:sz="0" w:space="0" w:color="auto"/>
        <w:left w:val="none" w:sz="0" w:space="0" w:color="auto"/>
        <w:bottom w:val="none" w:sz="0" w:space="0" w:color="auto"/>
        <w:right w:val="none" w:sz="0" w:space="0" w:color="auto"/>
      </w:divBdr>
      <w:divsChild>
        <w:div w:id="1285041513">
          <w:marLeft w:val="0"/>
          <w:marRight w:val="0"/>
          <w:marTop w:val="0"/>
          <w:marBottom w:val="0"/>
          <w:divBdr>
            <w:top w:val="none" w:sz="0" w:space="0" w:color="auto"/>
            <w:left w:val="none" w:sz="0" w:space="0" w:color="auto"/>
            <w:bottom w:val="none" w:sz="0" w:space="0" w:color="auto"/>
            <w:right w:val="none" w:sz="0" w:space="0" w:color="auto"/>
          </w:divBdr>
          <w:divsChild>
            <w:div w:id="1162968745">
              <w:marLeft w:val="0"/>
              <w:marRight w:val="0"/>
              <w:marTop w:val="0"/>
              <w:marBottom w:val="0"/>
              <w:divBdr>
                <w:top w:val="none" w:sz="0" w:space="0" w:color="auto"/>
                <w:left w:val="none" w:sz="0" w:space="0" w:color="auto"/>
                <w:bottom w:val="none" w:sz="0" w:space="0" w:color="auto"/>
                <w:right w:val="none" w:sz="0" w:space="0" w:color="auto"/>
              </w:divBdr>
              <w:divsChild>
                <w:div w:id="968782995">
                  <w:marLeft w:val="0"/>
                  <w:marRight w:val="0"/>
                  <w:marTop w:val="0"/>
                  <w:marBottom w:val="0"/>
                  <w:divBdr>
                    <w:top w:val="none" w:sz="0" w:space="0" w:color="auto"/>
                    <w:left w:val="none" w:sz="0" w:space="0" w:color="auto"/>
                    <w:bottom w:val="none" w:sz="0" w:space="0" w:color="auto"/>
                    <w:right w:val="none" w:sz="0" w:space="0" w:color="auto"/>
                  </w:divBdr>
                  <w:divsChild>
                    <w:div w:id="933979702">
                      <w:marLeft w:val="0"/>
                      <w:marRight w:val="0"/>
                      <w:marTop w:val="0"/>
                      <w:marBottom w:val="0"/>
                      <w:divBdr>
                        <w:top w:val="none" w:sz="0" w:space="0" w:color="auto"/>
                        <w:left w:val="none" w:sz="0" w:space="0" w:color="auto"/>
                        <w:bottom w:val="none" w:sz="0" w:space="0" w:color="auto"/>
                        <w:right w:val="none" w:sz="0" w:space="0" w:color="auto"/>
                      </w:divBdr>
                      <w:divsChild>
                        <w:div w:id="1171988140">
                          <w:marLeft w:val="0"/>
                          <w:marRight w:val="0"/>
                          <w:marTop w:val="0"/>
                          <w:marBottom w:val="0"/>
                          <w:divBdr>
                            <w:top w:val="none" w:sz="0" w:space="0" w:color="auto"/>
                            <w:left w:val="none" w:sz="0" w:space="0" w:color="auto"/>
                            <w:bottom w:val="none" w:sz="0" w:space="0" w:color="auto"/>
                            <w:right w:val="none" w:sz="0" w:space="0" w:color="auto"/>
                          </w:divBdr>
                          <w:divsChild>
                            <w:div w:id="224295796">
                              <w:marLeft w:val="-240"/>
                              <w:marRight w:val="-120"/>
                              <w:marTop w:val="0"/>
                              <w:marBottom w:val="0"/>
                              <w:divBdr>
                                <w:top w:val="none" w:sz="0" w:space="0" w:color="auto"/>
                                <w:left w:val="none" w:sz="0" w:space="0" w:color="auto"/>
                                <w:bottom w:val="none" w:sz="0" w:space="0" w:color="auto"/>
                                <w:right w:val="none" w:sz="0" w:space="0" w:color="auto"/>
                              </w:divBdr>
                              <w:divsChild>
                                <w:div w:id="635645068">
                                  <w:marLeft w:val="0"/>
                                  <w:marRight w:val="0"/>
                                  <w:marTop w:val="0"/>
                                  <w:marBottom w:val="60"/>
                                  <w:divBdr>
                                    <w:top w:val="none" w:sz="0" w:space="0" w:color="auto"/>
                                    <w:left w:val="none" w:sz="0" w:space="0" w:color="auto"/>
                                    <w:bottom w:val="none" w:sz="0" w:space="0" w:color="auto"/>
                                    <w:right w:val="none" w:sz="0" w:space="0" w:color="auto"/>
                                  </w:divBdr>
                                  <w:divsChild>
                                    <w:div w:id="1132869063">
                                      <w:marLeft w:val="0"/>
                                      <w:marRight w:val="0"/>
                                      <w:marTop w:val="0"/>
                                      <w:marBottom w:val="0"/>
                                      <w:divBdr>
                                        <w:top w:val="none" w:sz="0" w:space="0" w:color="auto"/>
                                        <w:left w:val="none" w:sz="0" w:space="0" w:color="auto"/>
                                        <w:bottom w:val="none" w:sz="0" w:space="0" w:color="auto"/>
                                        <w:right w:val="none" w:sz="0" w:space="0" w:color="auto"/>
                                      </w:divBdr>
                                      <w:divsChild>
                                        <w:div w:id="891886659">
                                          <w:marLeft w:val="0"/>
                                          <w:marRight w:val="0"/>
                                          <w:marTop w:val="0"/>
                                          <w:marBottom w:val="0"/>
                                          <w:divBdr>
                                            <w:top w:val="none" w:sz="0" w:space="0" w:color="auto"/>
                                            <w:left w:val="none" w:sz="0" w:space="0" w:color="auto"/>
                                            <w:bottom w:val="none" w:sz="0" w:space="0" w:color="auto"/>
                                            <w:right w:val="none" w:sz="0" w:space="0" w:color="auto"/>
                                          </w:divBdr>
                                          <w:divsChild>
                                            <w:div w:id="469523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9699760">
                              <w:marLeft w:val="0"/>
                              <w:marRight w:val="120"/>
                              <w:marTop w:val="0"/>
                              <w:marBottom w:val="0"/>
                              <w:divBdr>
                                <w:top w:val="none" w:sz="0" w:space="0" w:color="auto"/>
                                <w:left w:val="none" w:sz="0" w:space="0" w:color="auto"/>
                                <w:bottom w:val="none" w:sz="0" w:space="0" w:color="auto"/>
                                <w:right w:val="none" w:sz="0" w:space="0" w:color="auto"/>
                              </w:divBdr>
                              <w:divsChild>
                                <w:div w:id="3025149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3111331">
          <w:marLeft w:val="0"/>
          <w:marRight w:val="0"/>
          <w:marTop w:val="0"/>
          <w:marBottom w:val="0"/>
          <w:divBdr>
            <w:top w:val="none" w:sz="0" w:space="0" w:color="auto"/>
            <w:left w:val="none" w:sz="0" w:space="0" w:color="auto"/>
            <w:bottom w:val="none" w:sz="0" w:space="0" w:color="auto"/>
            <w:right w:val="none" w:sz="0" w:space="0" w:color="auto"/>
          </w:divBdr>
          <w:divsChild>
            <w:div w:id="481697756">
              <w:marLeft w:val="0"/>
              <w:marRight w:val="0"/>
              <w:marTop w:val="0"/>
              <w:marBottom w:val="0"/>
              <w:divBdr>
                <w:top w:val="none" w:sz="0" w:space="0" w:color="auto"/>
                <w:left w:val="none" w:sz="0" w:space="0" w:color="auto"/>
                <w:bottom w:val="none" w:sz="0" w:space="0" w:color="auto"/>
                <w:right w:val="none" w:sz="0" w:space="0" w:color="auto"/>
              </w:divBdr>
              <w:divsChild>
                <w:div w:id="1272669035">
                  <w:marLeft w:val="0"/>
                  <w:marRight w:val="0"/>
                  <w:marTop w:val="0"/>
                  <w:marBottom w:val="0"/>
                  <w:divBdr>
                    <w:top w:val="none" w:sz="0" w:space="0" w:color="auto"/>
                    <w:left w:val="none" w:sz="0" w:space="0" w:color="auto"/>
                    <w:bottom w:val="none" w:sz="0" w:space="0" w:color="auto"/>
                    <w:right w:val="none" w:sz="0" w:space="0" w:color="auto"/>
                  </w:divBdr>
                  <w:divsChild>
                    <w:div w:id="332225928">
                      <w:marLeft w:val="0"/>
                      <w:marRight w:val="0"/>
                      <w:marTop w:val="0"/>
                      <w:marBottom w:val="0"/>
                      <w:divBdr>
                        <w:top w:val="none" w:sz="0" w:space="0" w:color="auto"/>
                        <w:left w:val="none" w:sz="0" w:space="0" w:color="auto"/>
                        <w:bottom w:val="none" w:sz="0" w:space="0" w:color="auto"/>
                        <w:right w:val="none" w:sz="0" w:space="0" w:color="auto"/>
                      </w:divBdr>
                      <w:divsChild>
                        <w:div w:id="640112606">
                          <w:marLeft w:val="0"/>
                          <w:marRight w:val="0"/>
                          <w:marTop w:val="0"/>
                          <w:marBottom w:val="0"/>
                          <w:divBdr>
                            <w:top w:val="none" w:sz="0" w:space="0" w:color="auto"/>
                            <w:left w:val="none" w:sz="0" w:space="0" w:color="auto"/>
                            <w:bottom w:val="none" w:sz="0" w:space="0" w:color="auto"/>
                            <w:right w:val="none" w:sz="0" w:space="0" w:color="auto"/>
                          </w:divBdr>
                          <w:divsChild>
                            <w:div w:id="645627654">
                              <w:marLeft w:val="-240"/>
                              <w:marRight w:val="-120"/>
                              <w:marTop w:val="0"/>
                              <w:marBottom w:val="0"/>
                              <w:divBdr>
                                <w:top w:val="none" w:sz="0" w:space="0" w:color="auto"/>
                                <w:left w:val="none" w:sz="0" w:space="0" w:color="auto"/>
                                <w:bottom w:val="none" w:sz="0" w:space="0" w:color="auto"/>
                                <w:right w:val="none" w:sz="0" w:space="0" w:color="auto"/>
                              </w:divBdr>
                              <w:divsChild>
                                <w:div w:id="2057511">
                                  <w:marLeft w:val="0"/>
                                  <w:marRight w:val="0"/>
                                  <w:marTop w:val="0"/>
                                  <w:marBottom w:val="60"/>
                                  <w:divBdr>
                                    <w:top w:val="none" w:sz="0" w:space="0" w:color="auto"/>
                                    <w:left w:val="none" w:sz="0" w:space="0" w:color="auto"/>
                                    <w:bottom w:val="none" w:sz="0" w:space="0" w:color="auto"/>
                                    <w:right w:val="none" w:sz="0" w:space="0" w:color="auto"/>
                                  </w:divBdr>
                                  <w:divsChild>
                                    <w:div w:id="351227382">
                                      <w:marLeft w:val="0"/>
                                      <w:marRight w:val="0"/>
                                      <w:marTop w:val="0"/>
                                      <w:marBottom w:val="0"/>
                                      <w:divBdr>
                                        <w:top w:val="none" w:sz="0" w:space="0" w:color="auto"/>
                                        <w:left w:val="none" w:sz="0" w:space="0" w:color="auto"/>
                                        <w:bottom w:val="none" w:sz="0" w:space="0" w:color="auto"/>
                                        <w:right w:val="none" w:sz="0" w:space="0" w:color="auto"/>
                                      </w:divBdr>
                                      <w:divsChild>
                                        <w:div w:id="1471940579">
                                          <w:marLeft w:val="0"/>
                                          <w:marRight w:val="0"/>
                                          <w:marTop w:val="0"/>
                                          <w:marBottom w:val="0"/>
                                          <w:divBdr>
                                            <w:top w:val="none" w:sz="0" w:space="0" w:color="auto"/>
                                            <w:left w:val="none" w:sz="0" w:space="0" w:color="auto"/>
                                            <w:bottom w:val="none" w:sz="0" w:space="0" w:color="auto"/>
                                            <w:right w:val="none" w:sz="0" w:space="0" w:color="auto"/>
                                          </w:divBdr>
                                          <w:divsChild>
                                            <w:div w:id="54396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9774596">
                              <w:marLeft w:val="0"/>
                              <w:marRight w:val="120"/>
                              <w:marTop w:val="0"/>
                              <w:marBottom w:val="0"/>
                              <w:divBdr>
                                <w:top w:val="none" w:sz="0" w:space="0" w:color="auto"/>
                                <w:left w:val="none" w:sz="0" w:space="0" w:color="auto"/>
                                <w:bottom w:val="none" w:sz="0" w:space="0" w:color="auto"/>
                                <w:right w:val="none" w:sz="0" w:space="0" w:color="auto"/>
                              </w:divBdr>
                              <w:divsChild>
                                <w:div w:id="14296394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6367457">
          <w:marLeft w:val="0"/>
          <w:marRight w:val="0"/>
          <w:marTop w:val="0"/>
          <w:marBottom w:val="0"/>
          <w:divBdr>
            <w:top w:val="none" w:sz="0" w:space="0" w:color="auto"/>
            <w:left w:val="none" w:sz="0" w:space="0" w:color="auto"/>
            <w:bottom w:val="none" w:sz="0" w:space="0" w:color="auto"/>
            <w:right w:val="none" w:sz="0" w:space="0" w:color="auto"/>
          </w:divBdr>
          <w:divsChild>
            <w:div w:id="297032987">
              <w:marLeft w:val="0"/>
              <w:marRight w:val="0"/>
              <w:marTop w:val="0"/>
              <w:marBottom w:val="0"/>
              <w:divBdr>
                <w:top w:val="none" w:sz="0" w:space="0" w:color="auto"/>
                <w:left w:val="none" w:sz="0" w:space="0" w:color="auto"/>
                <w:bottom w:val="none" w:sz="0" w:space="0" w:color="auto"/>
                <w:right w:val="none" w:sz="0" w:space="0" w:color="auto"/>
              </w:divBdr>
              <w:divsChild>
                <w:div w:id="820849591">
                  <w:marLeft w:val="0"/>
                  <w:marRight w:val="0"/>
                  <w:marTop w:val="0"/>
                  <w:marBottom w:val="0"/>
                  <w:divBdr>
                    <w:top w:val="none" w:sz="0" w:space="0" w:color="auto"/>
                    <w:left w:val="none" w:sz="0" w:space="0" w:color="auto"/>
                    <w:bottom w:val="none" w:sz="0" w:space="0" w:color="auto"/>
                    <w:right w:val="none" w:sz="0" w:space="0" w:color="auto"/>
                  </w:divBdr>
                  <w:divsChild>
                    <w:div w:id="112871570">
                      <w:marLeft w:val="0"/>
                      <w:marRight w:val="0"/>
                      <w:marTop w:val="0"/>
                      <w:marBottom w:val="0"/>
                      <w:divBdr>
                        <w:top w:val="none" w:sz="0" w:space="0" w:color="auto"/>
                        <w:left w:val="none" w:sz="0" w:space="0" w:color="auto"/>
                        <w:bottom w:val="none" w:sz="0" w:space="0" w:color="auto"/>
                        <w:right w:val="none" w:sz="0" w:space="0" w:color="auto"/>
                      </w:divBdr>
                      <w:divsChild>
                        <w:div w:id="348071091">
                          <w:marLeft w:val="0"/>
                          <w:marRight w:val="0"/>
                          <w:marTop w:val="0"/>
                          <w:marBottom w:val="0"/>
                          <w:divBdr>
                            <w:top w:val="none" w:sz="0" w:space="0" w:color="auto"/>
                            <w:left w:val="none" w:sz="0" w:space="0" w:color="auto"/>
                            <w:bottom w:val="none" w:sz="0" w:space="0" w:color="auto"/>
                            <w:right w:val="none" w:sz="0" w:space="0" w:color="auto"/>
                          </w:divBdr>
                          <w:divsChild>
                            <w:div w:id="931397656">
                              <w:marLeft w:val="-240"/>
                              <w:marRight w:val="-120"/>
                              <w:marTop w:val="0"/>
                              <w:marBottom w:val="0"/>
                              <w:divBdr>
                                <w:top w:val="none" w:sz="0" w:space="0" w:color="auto"/>
                                <w:left w:val="none" w:sz="0" w:space="0" w:color="auto"/>
                                <w:bottom w:val="none" w:sz="0" w:space="0" w:color="auto"/>
                                <w:right w:val="none" w:sz="0" w:space="0" w:color="auto"/>
                              </w:divBdr>
                              <w:divsChild>
                                <w:div w:id="361708439">
                                  <w:marLeft w:val="0"/>
                                  <w:marRight w:val="0"/>
                                  <w:marTop w:val="0"/>
                                  <w:marBottom w:val="60"/>
                                  <w:divBdr>
                                    <w:top w:val="none" w:sz="0" w:space="0" w:color="auto"/>
                                    <w:left w:val="none" w:sz="0" w:space="0" w:color="auto"/>
                                    <w:bottom w:val="none" w:sz="0" w:space="0" w:color="auto"/>
                                    <w:right w:val="none" w:sz="0" w:space="0" w:color="auto"/>
                                  </w:divBdr>
                                  <w:divsChild>
                                    <w:div w:id="466708354">
                                      <w:marLeft w:val="0"/>
                                      <w:marRight w:val="0"/>
                                      <w:marTop w:val="0"/>
                                      <w:marBottom w:val="0"/>
                                      <w:divBdr>
                                        <w:top w:val="none" w:sz="0" w:space="0" w:color="auto"/>
                                        <w:left w:val="none" w:sz="0" w:space="0" w:color="auto"/>
                                        <w:bottom w:val="none" w:sz="0" w:space="0" w:color="auto"/>
                                        <w:right w:val="none" w:sz="0" w:space="0" w:color="auto"/>
                                      </w:divBdr>
                                      <w:divsChild>
                                        <w:div w:id="1097598940">
                                          <w:marLeft w:val="0"/>
                                          <w:marRight w:val="0"/>
                                          <w:marTop w:val="0"/>
                                          <w:marBottom w:val="0"/>
                                          <w:divBdr>
                                            <w:top w:val="none" w:sz="0" w:space="0" w:color="auto"/>
                                            <w:left w:val="none" w:sz="0" w:space="0" w:color="auto"/>
                                            <w:bottom w:val="none" w:sz="0" w:space="0" w:color="auto"/>
                                            <w:right w:val="none" w:sz="0" w:space="0" w:color="auto"/>
                                          </w:divBdr>
                                          <w:divsChild>
                                            <w:div w:id="7289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72958864">
      <w:bodyDiv w:val="1"/>
      <w:marLeft w:val="0"/>
      <w:marRight w:val="0"/>
      <w:marTop w:val="0"/>
      <w:marBottom w:val="0"/>
      <w:divBdr>
        <w:top w:val="none" w:sz="0" w:space="0" w:color="auto"/>
        <w:left w:val="none" w:sz="0" w:space="0" w:color="auto"/>
        <w:bottom w:val="none" w:sz="0" w:space="0" w:color="auto"/>
        <w:right w:val="none" w:sz="0" w:space="0" w:color="auto"/>
      </w:divBdr>
    </w:div>
    <w:div w:id="885526979">
      <w:bodyDiv w:val="1"/>
      <w:marLeft w:val="0"/>
      <w:marRight w:val="0"/>
      <w:marTop w:val="0"/>
      <w:marBottom w:val="0"/>
      <w:divBdr>
        <w:top w:val="none" w:sz="0" w:space="0" w:color="auto"/>
        <w:left w:val="none" w:sz="0" w:space="0" w:color="auto"/>
        <w:bottom w:val="none" w:sz="0" w:space="0" w:color="auto"/>
        <w:right w:val="none" w:sz="0" w:space="0" w:color="auto"/>
      </w:divBdr>
    </w:div>
    <w:div w:id="914558124">
      <w:bodyDiv w:val="1"/>
      <w:marLeft w:val="0"/>
      <w:marRight w:val="0"/>
      <w:marTop w:val="0"/>
      <w:marBottom w:val="0"/>
      <w:divBdr>
        <w:top w:val="none" w:sz="0" w:space="0" w:color="auto"/>
        <w:left w:val="none" w:sz="0" w:space="0" w:color="auto"/>
        <w:bottom w:val="none" w:sz="0" w:space="0" w:color="auto"/>
        <w:right w:val="none" w:sz="0" w:space="0" w:color="auto"/>
      </w:divBdr>
    </w:div>
    <w:div w:id="985864948">
      <w:bodyDiv w:val="1"/>
      <w:marLeft w:val="0"/>
      <w:marRight w:val="0"/>
      <w:marTop w:val="0"/>
      <w:marBottom w:val="0"/>
      <w:divBdr>
        <w:top w:val="none" w:sz="0" w:space="0" w:color="auto"/>
        <w:left w:val="none" w:sz="0" w:space="0" w:color="auto"/>
        <w:bottom w:val="none" w:sz="0" w:space="0" w:color="auto"/>
        <w:right w:val="none" w:sz="0" w:space="0" w:color="auto"/>
      </w:divBdr>
      <w:divsChild>
        <w:div w:id="1621959128">
          <w:marLeft w:val="0"/>
          <w:marRight w:val="0"/>
          <w:marTop w:val="0"/>
          <w:marBottom w:val="0"/>
          <w:divBdr>
            <w:top w:val="none" w:sz="0" w:space="0" w:color="auto"/>
            <w:left w:val="none" w:sz="0" w:space="0" w:color="auto"/>
            <w:bottom w:val="none" w:sz="0" w:space="0" w:color="auto"/>
            <w:right w:val="none" w:sz="0" w:space="0" w:color="auto"/>
          </w:divBdr>
          <w:divsChild>
            <w:div w:id="94448689">
              <w:marLeft w:val="0"/>
              <w:marRight w:val="0"/>
              <w:marTop w:val="0"/>
              <w:marBottom w:val="0"/>
              <w:divBdr>
                <w:top w:val="none" w:sz="0" w:space="0" w:color="auto"/>
                <w:left w:val="none" w:sz="0" w:space="0" w:color="auto"/>
                <w:bottom w:val="none" w:sz="0" w:space="0" w:color="auto"/>
                <w:right w:val="none" w:sz="0" w:space="0" w:color="auto"/>
              </w:divBdr>
            </w:div>
          </w:divsChild>
        </w:div>
        <w:div w:id="1517231581">
          <w:marLeft w:val="0"/>
          <w:marRight w:val="0"/>
          <w:marTop w:val="0"/>
          <w:marBottom w:val="0"/>
          <w:divBdr>
            <w:top w:val="none" w:sz="0" w:space="0" w:color="auto"/>
            <w:left w:val="none" w:sz="0" w:space="0" w:color="auto"/>
            <w:bottom w:val="none" w:sz="0" w:space="0" w:color="auto"/>
            <w:right w:val="none" w:sz="0" w:space="0" w:color="auto"/>
          </w:divBdr>
        </w:div>
      </w:divsChild>
    </w:div>
    <w:div w:id="1022437612">
      <w:bodyDiv w:val="1"/>
      <w:marLeft w:val="0"/>
      <w:marRight w:val="0"/>
      <w:marTop w:val="0"/>
      <w:marBottom w:val="0"/>
      <w:divBdr>
        <w:top w:val="none" w:sz="0" w:space="0" w:color="auto"/>
        <w:left w:val="none" w:sz="0" w:space="0" w:color="auto"/>
        <w:bottom w:val="none" w:sz="0" w:space="0" w:color="auto"/>
        <w:right w:val="none" w:sz="0" w:space="0" w:color="auto"/>
      </w:divBdr>
    </w:div>
    <w:div w:id="1028602194">
      <w:bodyDiv w:val="1"/>
      <w:marLeft w:val="0"/>
      <w:marRight w:val="0"/>
      <w:marTop w:val="0"/>
      <w:marBottom w:val="0"/>
      <w:divBdr>
        <w:top w:val="none" w:sz="0" w:space="0" w:color="auto"/>
        <w:left w:val="none" w:sz="0" w:space="0" w:color="auto"/>
        <w:bottom w:val="none" w:sz="0" w:space="0" w:color="auto"/>
        <w:right w:val="none" w:sz="0" w:space="0" w:color="auto"/>
      </w:divBdr>
    </w:div>
    <w:div w:id="1041438703">
      <w:bodyDiv w:val="1"/>
      <w:marLeft w:val="0"/>
      <w:marRight w:val="0"/>
      <w:marTop w:val="0"/>
      <w:marBottom w:val="0"/>
      <w:divBdr>
        <w:top w:val="none" w:sz="0" w:space="0" w:color="auto"/>
        <w:left w:val="none" w:sz="0" w:space="0" w:color="auto"/>
        <w:bottom w:val="none" w:sz="0" w:space="0" w:color="auto"/>
        <w:right w:val="none" w:sz="0" w:space="0" w:color="auto"/>
      </w:divBdr>
    </w:div>
    <w:div w:id="1041974692">
      <w:bodyDiv w:val="1"/>
      <w:marLeft w:val="0"/>
      <w:marRight w:val="0"/>
      <w:marTop w:val="0"/>
      <w:marBottom w:val="0"/>
      <w:divBdr>
        <w:top w:val="none" w:sz="0" w:space="0" w:color="auto"/>
        <w:left w:val="none" w:sz="0" w:space="0" w:color="auto"/>
        <w:bottom w:val="none" w:sz="0" w:space="0" w:color="auto"/>
        <w:right w:val="none" w:sz="0" w:space="0" w:color="auto"/>
      </w:divBdr>
    </w:div>
    <w:div w:id="1043098921">
      <w:bodyDiv w:val="1"/>
      <w:marLeft w:val="0"/>
      <w:marRight w:val="0"/>
      <w:marTop w:val="0"/>
      <w:marBottom w:val="0"/>
      <w:divBdr>
        <w:top w:val="none" w:sz="0" w:space="0" w:color="auto"/>
        <w:left w:val="none" w:sz="0" w:space="0" w:color="auto"/>
        <w:bottom w:val="none" w:sz="0" w:space="0" w:color="auto"/>
        <w:right w:val="none" w:sz="0" w:space="0" w:color="auto"/>
      </w:divBdr>
    </w:div>
    <w:div w:id="1051736109">
      <w:bodyDiv w:val="1"/>
      <w:marLeft w:val="0"/>
      <w:marRight w:val="0"/>
      <w:marTop w:val="0"/>
      <w:marBottom w:val="0"/>
      <w:divBdr>
        <w:top w:val="none" w:sz="0" w:space="0" w:color="auto"/>
        <w:left w:val="none" w:sz="0" w:space="0" w:color="auto"/>
        <w:bottom w:val="none" w:sz="0" w:space="0" w:color="auto"/>
        <w:right w:val="none" w:sz="0" w:space="0" w:color="auto"/>
      </w:divBdr>
    </w:div>
    <w:div w:id="1063026468">
      <w:bodyDiv w:val="1"/>
      <w:marLeft w:val="0"/>
      <w:marRight w:val="0"/>
      <w:marTop w:val="0"/>
      <w:marBottom w:val="0"/>
      <w:divBdr>
        <w:top w:val="none" w:sz="0" w:space="0" w:color="auto"/>
        <w:left w:val="none" w:sz="0" w:space="0" w:color="auto"/>
        <w:bottom w:val="none" w:sz="0" w:space="0" w:color="auto"/>
        <w:right w:val="none" w:sz="0" w:space="0" w:color="auto"/>
      </w:divBdr>
    </w:div>
    <w:div w:id="1081945776">
      <w:bodyDiv w:val="1"/>
      <w:marLeft w:val="0"/>
      <w:marRight w:val="0"/>
      <w:marTop w:val="0"/>
      <w:marBottom w:val="0"/>
      <w:divBdr>
        <w:top w:val="none" w:sz="0" w:space="0" w:color="auto"/>
        <w:left w:val="none" w:sz="0" w:space="0" w:color="auto"/>
        <w:bottom w:val="none" w:sz="0" w:space="0" w:color="auto"/>
        <w:right w:val="none" w:sz="0" w:space="0" w:color="auto"/>
      </w:divBdr>
    </w:div>
    <w:div w:id="1137188980">
      <w:bodyDiv w:val="1"/>
      <w:marLeft w:val="0"/>
      <w:marRight w:val="0"/>
      <w:marTop w:val="0"/>
      <w:marBottom w:val="0"/>
      <w:divBdr>
        <w:top w:val="none" w:sz="0" w:space="0" w:color="auto"/>
        <w:left w:val="none" w:sz="0" w:space="0" w:color="auto"/>
        <w:bottom w:val="none" w:sz="0" w:space="0" w:color="auto"/>
        <w:right w:val="none" w:sz="0" w:space="0" w:color="auto"/>
      </w:divBdr>
    </w:div>
    <w:div w:id="1160272933">
      <w:bodyDiv w:val="1"/>
      <w:marLeft w:val="0"/>
      <w:marRight w:val="0"/>
      <w:marTop w:val="0"/>
      <w:marBottom w:val="0"/>
      <w:divBdr>
        <w:top w:val="none" w:sz="0" w:space="0" w:color="auto"/>
        <w:left w:val="none" w:sz="0" w:space="0" w:color="auto"/>
        <w:bottom w:val="none" w:sz="0" w:space="0" w:color="auto"/>
        <w:right w:val="none" w:sz="0" w:space="0" w:color="auto"/>
      </w:divBdr>
    </w:div>
    <w:div w:id="1172141934">
      <w:bodyDiv w:val="1"/>
      <w:marLeft w:val="0"/>
      <w:marRight w:val="0"/>
      <w:marTop w:val="0"/>
      <w:marBottom w:val="0"/>
      <w:divBdr>
        <w:top w:val="none" w:sz="0" w:space="0" w:color="auto"/>
        <w:left w:val="none" w:sz="0" w:space="0" w:color="auto"/>
        <w:bottom w:val="none" w:sz="0" w:space="0" w:color="auto"/>
        <w:right w:val="none" w:sz="0" w:space="0" w:color="auto"/>
      </w:divBdr>
    </w:div>
    <w:div w:id="1182473480">
      <w:bodyDiv w:val="1"/>
      <w:marLeft w:val="0"/>
      <w:marRight w:val="0"/>
      <w:marTop w:val="0"/>
      <w:marBottom w:val="0"/>
      <w:divBdr>
        <w:top w:val="none" w:sz="0" w:space="0" w:color="auto"/>
        <w:left w:val="none" w:sz="0" w:space="0" w:color="auto"/>
        <w:bottom w:val="none" w:sz="0" w:space="0" w:color="auto"/>
        <w:right w:val="none" w:sz="0" w:space="0" w:color="auto"/>
      </w:divBdr>
    </w:div>
    <w:div w:id="1195390381">
      <w:bodyDiv w:val="1"/>
      <w:marLeft w:val="0"/>
      <w:marRight w:val="0"/>
      <w:marTop w:val="0"/>
      <w:marBottom w:val="0"/>
      <w:divBdr>
        <w:top w:val="none" w:sz="0" w:space="0" w:color="auto"/>
        <w:left w:val="none" w:sz="0" w:space="0" w:color="auto"/>
        <w:bottom w:val="none" w:sz="0" w:space="0" w:color="auto"/>
        <w:right w:val="none" w:sz="0" w:space="0" w:color="auto"/>
      </w:divBdr>
    </w:div>
    <w:div w:id="1213074903">
      <w:bodyDiv w:val="1"/>
      <w:marLeft w:val="0"/>
      <w:marRight w:val="0"/>
      <w:marTop w:val="0"/>
      <w:marBottom w:val="0"/>
      <w:divBdr>
        <w:top w:val="none" w:sz="0" w:space="0" w:color="auto"/>
        <w:left w:val="none" w:sz="0" w:space="0" w:color="auto"/>
        <w:bottom w:val="none" w:sz="0" w:space="0" w:color="auto"/>
        <w:right w:val="none" w:sz="0" w:space="0" w:color="auto"/>
      </w:divBdr>
    </w:div>
    <w:div w:id="1218780766">
      <w:bodyDiv w:val="1"/>
      <w:marLeft w:val="0"/>
      <w:marRight w:val="0"/>
      <w:marTop w:val="0"/>
      <w:marBottom w:val="0"/>
      <w:divBdr>
        <w:top w:val="none" w:sz="0" w:space="0" w:color="auto"/>
        <w:left w:val="none" w:sz="0" w:space="0" w:color="auto"/>
        <w:bottom w:val="none" w:sz="0" w:space="0" w:color="auto"/>
        <w:right w:val="none" w:sz="0" w:space="0" w:color="auto"/>
      </w:divBdr>
    </w:div>
    <w:div w:id="1224752314">
      <w:bodyDiv w:val="1"/>
      <w:marLeft w:val="0"/>
      <w:marRight w:val="0"/>
      <w:marTop w:val="0"/>
      <w:marBottom w:val="0"/>
      <w:divBdr>
        <w:top w:val="none" w:sz="0" w:space="0" w:color="auto"/>
        <w:left w:val="none" w:sz="0" w:space="0" w:color="auto"/>
        <w:bottom w:val="none" w:sz="0" w:space="0" w:color="auto"/>
        <w:right w:val="none" w:sz="0" w:space="0" w:color="auto"/>
      </w:divBdr>
    </w:div>
    <w:div w:id="1282223524">
      <w:bodyDiv w:val="1"/>
      <w:marLeft w:val="0"/>
      <w:marRight w:val="0"/>
      <w:marTop w:val="0"/>
      <w:marBottom w:val="0"/>
      <w:divBdr>
        <w:top w:val="none" w:sz="0" w:space="0" w:color="auto"/>
        <w:left w:val="none" w:sz="0" w:space="0" w:color="auto"/>
        <w:bottom w:val="none" w:sz="0" w:space="0" w:color="auto"/>
        <w:right w:val="none" w:sz="0" w:space="0" w:color="auto"/>
      </w:divBdr>
    </w:div>
    <w:div w:id="1295257505">
      <w:bodyDiv w:val="1"/>
      <w:marLeft w:val="0"/>
      <w:marRight w:val="0"/>
      <w:marTop w:val="0"/>
      <w:marBottom w:val="0"/>
      <w:divBdr>
        <w:top w:val="none" w:sz="0" w:space="0" w:color="auto"/>
        <w:left w:val="none" w:sz="0" w:space="0" w:color="auto"/>
        <w:bottom w:val="none" w:sz="0" w:space="0" w:color="auto"/>
        <w:right w:val="none" w:sz="0" w:space="0" w:color="auto"/>
      </w:divBdr>
    </w:div>
    <w:div w:id="1304123117">
      <w:bodyDiv w:val="1"/>
      <w:marLeft w:val="0"/>
      <w:marRight w:val="0"/>
      <w:marTop w:val="0"/>
      <w:marBottom w:val="0"/>
      <w:divBdr>
        <w:top w:val="none" w:sz="0" w:space="0" w:color="auto"/>
        <w:left w:val="none" w:sz="0" w:space="0" w:color="auto"/>
        <w:bottom w:val="none" w:sz="0" w:space="0" w:color="auto"/>
        <w:right w:val="none" w:sz="0" w:space="0" w:color="auto"/>
      </w:divBdr>
    </w:div>
    <w:div w:id="1310287975">
      <w:bodyDiv w:val="1"/>
      <w:marLeft w:val="0"/>
      <w:marRight w:val="0"/>
      <w:marTop w:val="0"/>
      <w:marBottom w:val="0"/>
      <w:divBdr>
        <w:top w:val="none" w:sz="0" w:space="0" w:color="auto"/>
        <w:left w:val="none" w:sz="0" w:space="0" w:color="auto"/>
        <w:bottom w:val="none" w:sz="0" w:space="0" w:color="auto"/>
        <w:right w:val="none" w:sz="0" w:space="0" w:color="auto"/>
      </w:divBdr>
    </w:div>
    <w:div w:id="1375933207">
      <w:bodyDiv w:val="1"/>
      <w:marLeft w:val="0"/>
      <w:marRight w:val="0"/>
      <w:marTop w:val="0"/>
      <w:marBottom w:val="0"/>
      <w:divBdr>
        <w:top w:val="none" w:sz="0" w:space="0" w:color="auto"/>
        <w:left w:val="none" w:sz="0" w:space="0" w:color="auto"/>
        <w:bottom w:val="none" w:sz="0" w:space="0" w:color="auto"/>
        <w:right w:val="none" w:sz="0" w:space="0" w:color="auto"/>
      </w:divBdr>
    </w:div>
    <w:div w:id="1405567004">
      <w:bodyDiv w:val="1"/>
      <w:marLeft w:val="0"/>
      <w:marRight w:val="0"/>
      <w:marTop w:val="0"/>
      <w:marBottom w:val="0"/>
      <w:divBdr>
        <w:top w:val="none" w:sz="0" w:space="0" w:color="auto"/>
        <w:left w:val="none" w:sz="0" w:space="0" w:color="auto"/>
        <w:bottom w:val="none" w:sz="0" w:space="0" w:color="auto"/>
        <w:right w:val="none" w:sz="0" w:space="0" w:color="auto"/>
      </w:divBdr>
      <w:divsChild>
        <w:div w:id="2144691766">
          <w:marLeft w:val="274"/>
          <w:marRight w:val="0"/>
          <w:marTop w:val="0"/>
          <w:marBottom w:val="0"/>
          <w:divBdr>
            <w:top w:val="none" w:sz="0" w:space="0" w:color="auto"/>
            <w:left w:val="none" w:sz="0" w:space="0" w:color="auto"/>
            <w:bottom w:val="none" w:sz="0" w:space="0" w:color="auto"/>
            <w:right w:val="none" w:sz="0" w:space="0" w:color="auto"/>
          </w:divBdr>
        </w:div>
      </w:divsChild>
    </w:div>
    <w:div w:id="1413426753">
      <w:bodyDiv w:val="1"/>
      <w:marLeft w:val="0"/>
      <w:marRight w:val="0"/>
      <w:marTop w:val="0"/>
      <w:marBottom w:val="0"/>
      <w:divBdr>
        <w:top w:val="none" w:sz="0" w:space="0" w:color="auto"/>
        <w:left w:val="none" w:sz="0" w:space="0" w:color="auto"/>
        <w:bottom w:val="none" w:sz="0" w:space="0" w:color="auto"/>
        <w:right w:val="none" w:sz="0" w:space="0" w:color="auto"/>
      </w:divBdr>
    </w:div>
    <w:div w:id="1419670240">
      <w:bodyDiv w:val="1"/>
      <w:marLeft w:val="0"/>
      <w:marRight w:val="0"/>
      <w:marTop w:val="0"/>
      <w:marBottom w:val="0"/>
      <w:divBdr>
        <w:top w:val="none" w:sz="0" w:space="0" w:color="auto"/>
        <w:left w:val="none" w:sz="0" w:space="0" w:color="auto"/>
        <w:bottom w:val="none" w:sz="0" w:space="0" w:color="auto"/>
        <w:right w:val="none" w:sz="0" w:space="0" w:color="auto"/>
      </w:divBdr>
      <w:divsChild>
        <w:div w:id="162355535">
          <w:marLeft w:val="274"/>
          <w:marRight w:val="0"/>
          <w:marTop w:val="0"/>
          <w:marBottom w:val="0"/>
          <w:divBdr>
            <w:top w:val="none" w:sz="0" w:space="0" w:color="auto"/>
            <w:left w:val="none" w:sz="0" w:space="0" w:color="auto"/>
            <w:bottom w:val="none" w:sz="0" w:space="0" w:color="auto"/>
            <w:right w:val="none" w:sz="0" w:space="0" w:color="auto"/>
          </w:divBdr>
        </w:div>
        <w:div w:id="1535381317">
          <w:marLeft w:val="274"/>
          <w:marRight w:val="0"/>
          <w:marTop w:val="0"/>
          <w:marBottom w:val="0"/>
          <w:divBdr>
            <w:top w:val="none" w:sz="0" w:space="0" w:color="auto"/>
            <w:left w:val="none" w:sz="0" w:space="0" w:color="auto"/>
            <w:bottom w:val="none" w:sz="0" w:space="0" w:color="auto"/>
            <w:right w:val="none" w:sz="0" w:space="0" w:color="auto"/>
          </w:divBdr>
        </w:div>
      </w:divsChild>
    </w:div>
    <w:div w:id="1469972724">
      <w:bodyDiv w:val="1"/>
      <w:marLeft w:val="0"/>
      <w:marRight w:val="0"/>
      <w:marTop w:val="0"/>
      <w:marBottom w:val="0"/>
      <w:divBdr>
        <w:top w:val="none" w:sz="0" w:space="0" w:color="auto"/>
        <w:left w:val="none" w:sz="0" w:space="0" w:color="auto"/>
        <w:bottom w:val="none" w:sz="0" w:space="0" w:color="auto"/>
        <w:right w:val="none" w:sz="0" w:space="0" w:color="auto"/>
      </w:divBdr>
    </w:div>
    <w:div w:id="1506044458">
      <w:bodyDiv w:val="1"/>
      <w:marLeft w:val="0"/>
      <w:marRight w:val="0"/>
      <w:marTop w:val="0"/>
      <w:marBottom w:val="0"/>
      <w:divBdr>
        <w:top w:val="none" w:sz="0" w:space="0" w:color="auto"/>
        <w:left w:val="none" w:sz="0" w:space="0" w:color="auto"/>
        <w:bottom w:val="none" w:sz="0" w:space="0" w:color="auto"/>
        <w:right w:val="none" w:sz="0" w:space="0" w:color="auto"/>
      </w:divBdr>
    </w:div>
    <w:div w:id="1509562149">
      <w:bodyDiv w:val="1"/>
      <w:marLeft w:val="0"/>
      <w:marRight w:val="0"/>
      <w:marTop w:val="0"/>
      <w:marBottom w:val="0"/>
      <w:divBdr>
        <w:top w:val="none" w:sz="0" w:space="0" w:color="auto"/>
        <w:left w:val="none" w:sz="0" w:space="0" w:color="auto"/>
        <w:bottom w:val="none" w:sz="0" w:space="0" w:color="auto"/>
        <w:right w:val="none" w:sz="0" w:space="0" w:color="auto"/>
      </w:divBdr>
    </w:div>
    <w:div w:id="1523546721">
      <w:bodyDiv w:val="1"/>
      <w:marLeft w:val="0"/>
      <w:marRight w:val="0"/>
      <w:marTop w:val="0"/>
      <w:marBottom w:val="0"/>
      <w:divBdr>
        <w:top w:val="none" w:sz="0" w:space="0" w:color="auto"/>
        <w:left w:val="none" w:sz="0" w:space="0" w:color="auto"/>
        <w:bottom w:val="none" w:sz="0" w:space="0" w:color="auto"/>
        <w:right w:val="none" w:sz="0" w:space="0" w:color="auto"/>
      </w:divBdr>
    </w:div>
    <w:div w:id="1528718833">
      <w:bodyDiv w:val="1"/>
      <w:marLeft w:val="0"/>
      <w:marRight w:val="0"/>
      <w:marTop w:val="0"/>
      <w:marBottom w:val="0"/>
      <w:divBdr>
        <w:top w:val="none" w:sz="0" w:space="0" w:color="auto"/>
        <w:left w:val="none" w:sz="0" w:space="0" w:color="auto"/>
        <w:bottom w:val="none" w:sz="0" w:space="0" w:color="auto"/>
        <w:right w:val="none" w:sz="0" w:space="0" w:color="auto"/>
      </w:divBdr>
    </w:div>
    <w:div w:id="1545367181">
      <w:bodyDiv w:val="1"/>
      <w:marLeft w:val="0"/>
      <w:marRight w:val="0"/>
      <w:marTop w:val="0"/>
      <w:marBottom w:val="0"/>
      <w:divBdr>
        <w:top w:val="none" w:sz="0" w:space="0" w:color="auto"/>
        <w:left w:val="none" w:sz="0" w:space="0" w:color="auto"/>
        <w:bottom w:val="none" w:sz="0" w:space="0" w:color="auto"/>
        <w:right w:val="none" w:sz="0" w:space="0" w:color="auto"/>
      </w:divBdr>
    </w:div>
    <w:div w:id="1555004455">
      <w:bodyDiv w:val="1"/>
      <w:marLeft w:val="0"/>
      <w:marRight w:val="0"/>
      <w:marTop w:val="0"/>
      <w:marBottom w:val="0"/>
      <w:divBdr>
        <w:top w:val="none" w:sz="0" w:space="0" w:color="auto"/>
        <w:left w:val="none" w:sz="0" w:space="0" w:color="auto"/>
        <w:bottom w:val="none" w:sz="0" w:space="0" w:color="auto"/>
        <w:right w:val="none" w:sz="0" w:space="0" w:color="auto"/>
      </w:divBdr>
    </w:div>
    <w:div w:id="1565066838">
      <w:bodyDiv w:val="1"/>
      <w:marLeft w:val="0"/>
      <w:marRight w:val="0"/>
      <w:marTop w:val="0"/>
      <w:marBottom w:val="0"/>
      <w:divBdr>
        <w:top w:val="none" w:sz="0" w:space="0" w:color="auto"/>
        <w:left w:val="none" w:sz="0" w:space="0" w:color="auto"/>
        <w:bottom w:val="none" w:sz="0" w:space="0" w:color="auto"/>
        <w:right w:val="none" w:sz="0" w:space="0" w:color="auto"/>
      </w:divBdr>
    </w:div>
    <w:div w:id="1566142754">
      <w:bodyDiv w:val="1"/>
      <w:marLeft w:val="0"/>
      <w:marRight w:val="0"/>
      <w:marTop w:val="0"/>
      <w:marBottom w:val="0"/>
      <w:divBdr>
        <w:top w:val="none" w:sz="0" w:space="0" w:color="auto"/>
        <w:left w:val="none" w:sz="0" w:space="0" w:color="auto"/>
        <w:bottom w:val="none" w:sz="0" w:space="0" w:color="auto"/>
        <w:right w:val="none" w:sz="0" w:space="0" w:color="auto"/>
      </w:divBdr>
    </w:div>
    <w:div w:id="1588730246">
      <w:bodyDiv w:val="1"/>
      <w:marLeft w:val="0"/>
      <w:marRight w:val="0"/>
      <w:marTop w:val="0"/>
      <w:marBottom w:val="0"/>
      <w:divBdr>
        <w:top w:val="none" w:sz="0" w:space="0" w:color="auto"/>
        <w:left w:val="none" w:sz="0" w:space="0" w:color="auto"/>
        <w:bottom w:val="none" w:sz="0" w:space="0" w:color="auto"/>
        <w:right w:val="none" w:sz="0" w:space="0" w:color="auto"/>
      </w:divBdr>
    </w:div>
    <w:div w:id="1608583070">
      <w:bodyDiv w:val="1"/>
      <w:marLeft w:val="0"/>
      <w:marRight w:val="0"/>
      <w:marTop w:val="0"/>
      <w:marBottom w:val="0"/>
      <w:divBdr>
        <w:top w:val="none" w:sz="0" w:space="0" w:color="auto"/>
        <w:left w:val="none" w:sz="0" w:space="0" w:color="auto"/>
        <w:bottom w:val="none" w:sz="0" w:space="0" w:color="auto"/>
        <w:right w:val="none" w:sz="0" w:space="0" w:color="auto"/>
      </w:divBdr>
    </w:div>
    <w:div w:id="1632519249">
      <w:bodyDiv w:val="1"/>
      <w:marLeft w:val="0"/>
      <w:marRight w:val="0"/>
      <w:marTop w:val="0"/>
      <w:marBottom w:val="0"/>
      <w:divBdr>
        <w:top w:val="none" w:sz="0" w:space="0" w:color="auto"/>
        <w:left w:val="none" w:sz="0" w:space="0" w:color="auto"/>
        <w:bottom w:val="none" w:sz="0" w:space="0" w:color="auto"/>
        <w:right w:val="none" w:sz="0" w:space="0" w:color="auto"/>
      </w:divBdr>
    </w:div>
    <w:div w:id="1671635255">
      <w:bodyDiv w:val="1"/>
      <w:marLeft w:val="0"/>
      <w:marRight w:val="0"/>
      <w:marTop w:val="0"/>
      <w:marBottom w:val="0"/>
      <w:divBdr>
        <w:top w:val="none" w:sz="0" w:space="0" w:color="auto"/>
        <w:left w:val="none" w:sz="0" w:space="0" w:color="auto"/>
        <w:bottom w:val="none" w:sz="0" w:space="0" w:color="auto"/>
        <w:right w:val="none" w:sz="0" w:space="0" w:color="auto"/>
      </w:divBdr>
    </w:div>
    <w:div w:id="1682850436">
      <w:bodyDiv w:val="1"/>
      <w:marLeft w:val="0"/>
      <w:marRight w:val="0"/>
      <w:marTop w:val="0"/>
      <w:marBottom w:val="0"/>
      <w:divBdr>
        <w:top w:val="none" w:sz="0" w:space="0" w:color="auto"/>
        <w:left w:val="none" w:sz="0" w:space="0" w:color="auto"/>
        <w:bottom w:val="none" w:sz="0" w:space="0" w:color="auto"/>
        <w:right w:val="none" w:sz="0" w:space="0" w:color="auto"/>
      </w:divBdr>
    </w:div>
    <w:div w:id="1747455796">
      <w:bodyDiv w:val="1"/>
      <w:marLeft w:val="0"/>
      <w:marRight w:val="0"/>
      <w:marTop w:val="0"/>
      <w:marBottom w:val="0"/>
      <w:divBdr>
        <w:top w:val="none" w:sz="0" w:space="0" w:color="auto"/>
        <w:left w:val="none" w:sz="0" w:space="0" w:color="auto"/>
        <w:bottom w:val="none" w:sz="0" w:space="0" w:color="auto"/>
        <w:right w:val="none" w:sz="0" w:space="0" w:color="auto"/>
      </w:divBdr>
    </w:div>
    <w:div w:id="1754813541">
      <w:bodyDiv w:val="1"/>
      <w:marLeft w:val="0"/>
      <w:marRight w:val="0"/>
      <w:marTop w:val="0"/>
      <w:marBottom w:val="0"/>
      <w:divBdr>
        <w:top w:val="none" w:sz="0" w:space="0" w:color="auto"/>
        <w:left w:val="none" w:sz="0" w:space="0" w:color="auto"/>
        <w:bottom w:val="none" w:sz="0" w:space="0" w:color="auto"/>
        <w:right w:val="none" w:sz="0" w:space="0" w:color="auto"/>
      </w:divBdr>
    </w:div>
    <w:div w:id="1786384370">
      <w:bodyDiv w:val="1"/>
      <w:marLeft w:val="0"/>
      <w:marRight w:val="0"/>
      <w:marTop w:val="0"/>
      <w:marBottom w:val="0"/>
      <w:divBdr>
        <w:top w:val="none" w:sz="0" w:space="0" w:color="auto"/>
        <w:left w:val="none" w:sz="0" w:space="0" w:color="auto"/>
        <w:bottom w:val="none" w:sz="0" w:space="0" w:color="auto"/>
        <w:right w:val="none" w:sz="0" w:space="0" w:color="auto"/>
      </w:divBdr>
    </w:div>
    <w:div w:id="1788350731">
      <w:bodyDiv w:val="1"/>
      <w:marLeft w:val="0"/>
      <w:marRight w:val="0"/>
      <w:marTop w:val="0"/>
      <w:marBottom w:val="0"/>
      <w:divBdr>
        <w:top w:val="none" w:sz="0" w:space="0" w:color="auto"/>
        <w:left w:val="none" w:sz="0" w:space="0" w:color="auto"/>
        <w:bottom w:val="none" w:sz="0" w:space="0" w:color="auto"/>
        <w:right w:val="none" w:sz="0" w:space="0" w:color="auto"/>
      </w:divBdr>
    </w:div>
    <w:div w:id="1805343392">
      <w:bodyDiv w:val="1"/>
      <w:marLeft w:val="0"/>
      <w:marRight w:val="0"/>
      <w:marTop w:val="0"/>
      <w:marBottom w:val="0"/>
      <w:divBdr>
        <w:top w:val="none" w:sz="0" w:space="0" w:color="auto"/>
        <w:left w:val="none" w:sz="0" w:space="0" w:color="auto"/>
        <w:bottom w:val="none" w:sz="0" w:space="0" w:color="auto"/>
        <w:right w:val="none" w:sz="0" w:space="0" w:color="auto"/>
      </w:divBdr>
    </w:div>
    <w:div w:id="1815483485">
      <w:bodyDiv w:val="1"/>
      <w:marLeft w:val="0"/>
      <w:marRight w:val="0"/>
      <w:marTop w:val="0"/>
      <w:marBottom w:val="0"/>
      <w:divBdr>
        <w:top w:val="none" w:sz="0" w:space="0" w:color="auto"/>
        <w:left w:val="none" w:sz="0" w:space="0" w:color="auto"/>
        <w:bottom w:val="none" w:sz="0" w:space="0" w:color="auto"/>
        <w:right w:val="none" w:sz="0" w:space="0" w:color="auto"/>
      </w:divBdr>
    </w:div>
    <w:div w:id="1818106716">
      <w:bodyDiv w:val="1"/>
      <w:marLeft w:val="0"/>
      <w:marRight w:val="0"/>
      <w:marTop w:val="0"/>
      <w:marBottom w:val="0"/>
      <w:divBdr>
        <w:top w:val="none" w:sz="0" w:space="0" w:color="auto"/>
        <w:left w:val="none" w:sz="0" w:space="0" w:color="auto"/>
        <w:bottom w:val="none" w:sz="0" w:space="0" w:color="auto"/>
        <w:right w:val="none" w:sz="0" w:space="0" w:color="auto"/>
      </w:divBdr>
    </w:div>
    <w:div w:id="1839342673">
      <w:bodyDiv w:val="1"/>
      <w:marLeft w:val="0"/>
      <w:marRight w:val="0"/>
      <w:marTop w:val="0"/>
      <w:marBottom w:val="0"/>
      <w:divBdr>
        <w:top w:val="none" w:sz="0" w:space="0" w:color="auto"/>
        <w:left w:val="none" w:sz="0" w:space="0" w:color="auto"/>
        <w:bottom w:val="none" w:sz="0" w:space="0" w:color="auto"/>
        <w:right w:val="none" w:sz="0" w:space="0" w:color="auto"/>
      </w:divBdr>
      <w:divsChild>
        <w:div w:id="862354627">
          <w:marLeft w:val="360"/>
          <w:marRight w:val="0"/>
          <w:marTop w:val="200"/>
          <w:marBottom w:val="0"/>
          <w:divBdr>
            <w:top w:val="none" w:sz="0" w:space="0" w:color="auto"/>
            <w:left w:val="none" w:sz="0" w:space="0" w:color="auto"/>
            <w:bottom w:val="none" w:sz="0" w:space="0" w:color="auto"/>
            <w:right w:val="none" w:sz="0" w:space="0" w:color="auto"/>
          </w:divBdr>
        </w:div>
        <w:div w:id="1227259011">
          <w:marLeft w:val="360"/>
          <w:marRight w:val="0"/>
          <w:marTop w:val="200"/>
          <w:marBottom w:val="0"/>
          <w:divBdr>
            <w:top w:val="none" w:sz="0" w:space="0" w:color="auto"/>
            <w:left w:val="none" w:sz="0" w:space="0" w:color="auto"/>
            <w:bottom w:val="none" w:sz="0" w:space="0" w:color="auto"/>
            <w:right w:val="none" w:sz="0" w:space="0" w:color="auto"/>
          </w:divBdr>
        </w:div>
      </w:divsChild>
    </w:div>
    <w:div w:id="1851600022">
      <w:bodyDiv w:val="1"/>
      <w:marLeft w:val="0"/>
      <w:marRight w:val="0"/>
      <w:marTop w:val="0"/>
      <w:marBottom w:val="0"/>
      <w:divBdr>
        <w:top w:val="none" w:sz="0" w:space="0" w:color="auto"/>
        <w:left w:val="none" w:sz="0" w:space="0" w:color="auto"/>
        <w:bottom w:val="none" w:sz="0" w:space="0" w:color="auto"/>
        <w:right w:val="none" w:sz="0" w:space="0" w:color="auto"/>
      </w:divBdr>
    </w:div>
    <w:div w:id="1856142180">
      <w:bodyDiv w:val="1"/>
      <w:marLeft w:val="0"/>
      <w:marRight w:val="0"/>
      <w:marTop w:val="0"/>
      <w:marBottom w:val="0"/>
      <w:divBdr>
        <w:top w:val="none" w:sz="0" w:space="0" w:color="auto"/>
        <w:left w:val="none" w:sz="0" w:space="0" w:color="auto"/>
        <w:bottom w:val="none" w:sz="0" w:space="0" w:color="auto"/>
        <w:right w:val="none" w:sz="0" w:space="0" w:color="auto"/>
      </w:divBdr>
    </w:div>
    <w:div w:id="1861091880">
      <w:bodyDiv w:val="1"/>
      <w:marLeft w:val="0"/>
      <w:marRight w:val="0"/>
      <w:marTop w:val="0"/>
      <w:marBottom w:val="0"/>
      <w:divBdr>
        <w:top w:val="none" w:sz="0" w:space="0" w:color="auto"/>
        <w:left w:val="none" w:sz="0" w:space="0" w:color="auto"/>
        <w:bottom w:val="none" w:sz="0" w:space="0" w:color="auto"/>
        <w:right w:val="none" w:sz="0" w:space="0" w:color="auto"/>
      </w:divBdr>
    </w:div>
    <w:div w:id="1873423138">
      <w:bodyDiv w:val="1"/>
      <w:marLeft w:val="0"/>
      <w:marRight w:val="0"/>
      <w:marTop w:val="0"/>
      <w:marBottom w:val="0"/>
      <w:divBdr>
        <w:top w:val="none" w:sz="0" w:space="0" w:color="auto"/>
        <w:left w:val="none" w:sz="0" w:space="0" w:color="auto"/>
        <w:bottom w:val="none" w:sz="0" w:space="0" w:color="auto"/>
        <w:right w:val="none" w:sz="0" w:space="0" w:color="auto"/>
      </w:divBdr>
    </w:div>
    <w:div w:id="1874611589">
      <w:bodyDiv w:val="1"/>
      <w:marLeft w:val="0"/>
      <w:marRight w:val="0"/>
      <w:marTop w:val="0"/>
      <w:marBottom w:val="0"/>
      <w:divBdr>
        <w:top w:val="none" w:sz="0" w:space="0" w:color="auto"/>
        <w:left w:val="none" w:sz="0" w:space="0" w:color="auto"/>
        <w:bottom w:val="none" w:sz="0" w:space="0" w:color="auto"/>
        <w:right w:val="none" w:sz="0" w:space="0" w:color="auto"/>
      </w:divBdr>
    </w:div>
    <w:div w:id="1930387286">
      <w:bodyDiv w:val="1"/>
      <w:marLeft w:val="0"/>
      <w:marRight w:val="0"/>
      <w:marTop w:val="0"/>
      <w:marBottom w:val="0"/>
      <w:divBdr>
        <w:top w:val="none" w:sz="0" w:space="0" w:color="auto"/>
        <w:left w:val="none" w:sz="0" w:space="0" w:color="auto"/>
        <w:bottom w:val="none" w:sz="0" w:space="0" w:color="auto"/>
        <w:right w:val="none" w:sz="0" w:space="0" w:color="auto"/>
      </w:divBdr>
    </w:div>
    <w:div w:id="1941987514">
      <w:bodyDiv w:val="1"/>
      <w:marLeft w:val="0"/>
      <w:marRight w:val="0"/>
      <w:marTop w:val="0"/>
      <w:marBottom w:val="0"/>
      <w:divBdr>
        <w:top w:val="none" w:sz="0" w:space="0" w:color="auto"/>
        <w:left w:val="none" w:sz="0" w:space="0" w:color="auto"/>
        <w:bottom w:val="none" w:sz="0" w:space="0" w:color="auto"/>
        <w:right w:val="none" w:sz="0" w:space="0" w:color="auto"/>
      </w:divBdr>
    </w:div>
    <w:div w:id="1945074450">
      <w:bodyDiv w:val="1"/>
      <w:marLeft w:val="0"/>
      <w:marRight w:val="0"/>
      <w:marTop w:val="0"/>
      <w:marBottom w:val="0"/>
      <w:divBdr>
        <w:top w:val="none" w:sz="0" w:space="0" w:color="auto"/>
        <w:left w:val="none" w:sz="0" w:space="0" w:color="auto"/>
        <w:bottom w:val="none" w:sz="0" w:space="0" w:color="auto"/>
        <w:right w:val="none" w:sz="0" w:space="0" w:color="auto"/>
      </w:divBdr>
      <w:divsChild>
        <w:div w:id="236138052">
          <w:marLeft w:val="0"/>
          <w:marRight w:val="0"/>
          <w:marTop w:val="0"/>
          <w:marBottom w:val="0"/>
          <w:divBdr>
            <w:top w:val="none" w:sz="0" w:space="0" w:color="auto"/>
            <w:left w:val="none" w:sz="0" w:space="0" w:color="auto"/>
            <w:bottom w:val="none" w:sz="0" w:space="0" w:color="auto"/>
            <w:right w:val="none" w:sz="0" w:space="0" w:color="auto"/>
          </w:divBdr>
          <w:divsChild>
            <w:div w:id="1991277924">
              <w:marLeft w:val="0"/>
              <w:marRight w:val="0"/>
              <w:marTop w:val="0"/>
              <w:marBottom w:val="0"/>
              <w:divBdr>
                <w:top w:val="none" w:sz="0" w:space="0" w:color="auto"/>
                <w:left w:val="none" w:sz="0" w:space="0" w:color="auto"/>
                <w:bottom w:val="none" w:sz="0" w:space="0" w:color="auto"/>
                <w:right w:val="none" w:sz="0" w:space="0" w:color="auto"/>
              </w:divBdr>
              <w:divsChild>
                <w:div w:id="70199482">
                  <w:marLeft w:val="0"/>
                  <w:marRight w:val="0"/>
                  <w:marTop w:val="0"/>
                  <w:marBottom w:val="0"/>
                  <w:divBdr>
                    <w:top w:val="none" w:sz="0" w:space="0" w:color="auto"/>
                    <w:left w:val="none" w:sz="0" w:space="0" w:color="auto"/>
                    <w:bottom w:val="none" w:sz="0" w:space="0" w:color="auto"/>
                    <w:right w:val="none" w:sz="0" w:space="0" w:color="auto"/>
                  </w:divBdr>
                  <w:divsChild>
                    <w:div w:id="637809537">
                      <w:marLeft w:val="0"/>
                      <w:marRight w:val="150"/>
                      <w:marTop w:val="0"/>
                      <w:marBottom w:val="0"/>
                      <w:divBdr>
                        <w:top w:val="none" w:sz="0" w:space="0" w:color="auto"/>
                        <w:left w:val="none" w:sz="0" w:space="0" w:color="auto"/>
                        <w:bottom w:val="none" w:sz="0" w:space="0" w:color="auto"/>
                        <w:right w:val="none" w:sz="0" w:space="0" w:color="auto"/>
                      </w:divBdr>
                      <w:divsChild>
                        <w:div w:id="617445480">
                          <w:marLeft w:val="0"/>
                          <w:marRight w:val="0"/>
                          <w:marTop w:val="0"/>
                          <w:marBottom w:val="0"/>
                          <w:divBdr>
                            <w:top w:val="none" w:sz="0" w:space="0" w:color="auto"/>
                            <w:left w:val="none" w:sz="0" w:space="0" w:color="auto"/>
                            <w:bottom w:val="none" w:sz="0" w:space="0" w:color="auto"/>
                            <w:right w:val="none" w:sz="0" w:space="0" w:color="auto"/>
                          </w:divBdr>
                        </w:div>
                        <w:div w:id="1648514585">
                          <w:marLeft w:val="90"/>
                          <w:marRight w:val="0"/>
                          <w:marTop w:val="0"/>
                          <w:marBottom w:val="0"/>
                          <w:divBdr>
                            <w:top w:val="none" w:sz="0" w:space="0" w:color="auto"/>
                            <w:left w:val="none" w:sz="0" w:space="0" w:color="auto"/>
                            <w:bottom w:val="none" w:sz="0" w:space="0" w:color="auto"/>
                            <w:right w:val="none" w:sz="0" w:space="0" w:color="auto"/>
                          </w:divBdr>
                        </w:div>
                      </w:divsChild>
                    </w:div>
                  </w:divsChild>
                </w:div>
                <w:div w:id="938752894">
                  <w:marLeft w:val="0"/>
                  <w:marRight w:val="0"/>
                  <w:marTop w:val="0"/>
                  <w:marBottom w:val="0"/>
                  <w:divBdr>
                    <w:top w:val="single" w:sz="6" w:space="0" w:color="0C1F30"/>
                    <w:left w:val="single" w:sz="6" w:space="0" w:color="0C1F30"/>
                    <w:bottom w:val="single" w:sz="6" w:space="0" w:color="0C1F30"/>
                    <w:right w:val="single" w:sz="6" w:space="0" w:color="0C1F30"/>
                  </w:divBdr>
                  <w:divsChild>
                    <w:div w:id="432022178">
                      <w:marLeft w:val="0"/>
                      <w:marRight w:val="0"/>
                      <w:marTop w:val="0"/>
                      <w:marBottom w:val="0"/>
                      <w:divBdr>
                        <w:top w:val="none" w:sz="0" w:space="0" w:color="auto"/>
                        <w:left w:val="none" w:sz="0" w:space="0" w:color="auto"/>
                        <w:bottom w:val="none" w:sz="0" w:space="0" w:color="auto"/>
                        <w:right w:val="none" w:sz="0" w:space="0" w:color="auto"/>
                      </w:divBdr>
                      <w:divsChild>
                        <w:div w:id="1220825595">
                          <w:marLeft w:val="0"/>
                          <w:marRight w:val="0"/>
                          <w:marTop w:val="0"/>
                          <w:marBottom w:val="0"/>
                          <w:divBdr>
                            <w:top w:val="none" w:sz="0" w:space="0" w:color="auto"/>
                            <w:left w:val="none" w:sz="0" w:space="0" w:color="auto"/>
                            <w:bottom w:val="none" w:sz="0" w:space="0" w:color="auto"/>
                            <w:right w:val="none" w:sz="0" w:space="0" w:color="auto"/>
                          </w:divBdr>
                          <w:divsChild>
                            <w:div w:id="96292875">
                              <w:marLeft w:val="0"/>
                              <w:marRight w:val="0"/>
                              <w:marTop w:val="0"/>
                              <w:marBottom w:val="0"/>
                              <w:divBdr>
                                <w:top w:val="none" w:sz="0" w:space="0" w:color="auto"/>
                                <w:left w:val="none" w:sz="0" w:space="0" w:color="auto"/>
                                <w:bottom w:val="none" w:sz="0" w:space="0" w:color="auto"/>
                                <w:right w:val="none" w:sz="0" w:space="0" w:color="auto"/>
                              </w:divBdr>
                              <w:divsChild>
                                <w:div w:id="948512473">
                                  <w:marLeft w:val="90"/>
                                  <w:marRight w:val="0"/>
                                  <w:marTop w:val="0"/>
                                  <w:marBottom w:val="0"/>
                                  <w:divBdr>
                                    <w:top w:val="none" w:sz="0" w:space="0" w:color="auto"/>
                                    <w:left w:val="none" w:sz="0" w:space="0" w:color="auto"/>
                                    <w:bottom w:val="none" w:sz="0" w:space="0" w:color="auto"/>
                                    <w:right w:val="none" w:sz="0" w:space="0" w:color="auto"/>
                                  </w:divBdr>
                                </w:div>
                                <w:div w:id="1059942456">
                                  <w:marLeft w:val="0"/>
                                  <w:marRight w:val="0"/>
                                  <w:marTop w:val="0"/>
                                  <w:marBottom w:val="0"/>
                                  <w:divBdr>
                                    <w:top w:val="none" w:sz="0" w:space="0" w:color="auto"/>
                                    <w:left w:val="none" w:sz="0" w:space="0" w:color="auto"/>
                                    <w:bottom w:val="none" w:sz="0" w:space="0" w:color="auto"/>
                                    <w:right w:val="none" w:sz="0" w:space="0" w:color="auto"/>
                                  </w:divBdr>
                                  <w:divsChild>
                                    <w:div w:id="1620333829">
                                      <w:marLeft w:val="0"/>
                                      <w:marRight w:val="0"/>
                                      <w:marTop w:val="0"/>
                                      <w:marBottom w:val="0"/>
                                      <w:divBdr>
                                        <w:top w:val="none" w:sz="0" w:space="0" w:color="0C1F30"/>
                                        <w:left w:val="none" w:sz="0" w:space="0" w:color="0C1F30"/>
                                        <w:bottom w:val="single" w:sz="6" w:space="0" w:color="0C1F30"/>
                                        <w:right w:val="none" w:sz="0" w:space="0" w:color="0C1F30"/>
                                      </w:divBdr>
                                      <w:divsChild>
                                        <w:div w:id="1381827367">
                                          <w:marLeft w:val="0"/>
                                          <w:marRight w:val="0"/>
                                          <w:marTop w:val="0"/>
                                          <w:marBottom w:val="0"/>
                                          <w:divBdr>
                                            <w:top w:val="none" w:sz="0" w:space="0" w:color="auto"/>
                                            <w:left w:val="none" w:sz="0" w:space="0" w:color="auto"/>
                                            <w:bottom w:val="none" w:sz="0" w:space="0" w:color="auto"/>
                                            <w:right w:val="none" w:sz="0" w:space="0" w:color="auto"/>
                                          </w:divBdr>
                                          <w:divsChild>
                                            <w:div w:id="1642147658">
                                              <w:marLeft w:val="0"/>
                                              <w:marRight w:val="0"/>
                                              <w:marTop w:val="0"/>
                                              <w:marBottom w:val="0"/>
                                              <w:divBdr>
                                                <w:top w:val="none" w:sz="0" w:space="0" w:color="auto"/>
                                                <w:left w:val="none" w:sz="0" w:space="0" w:color="auto"/>
                                                <w:bottom w:val="none" w:sz="0" w:space="0" w:color="auto"/>
                                                <w:right w:val="none" w:sz="0" w:space="0" w:color="auto"/>
                                              </w:divBdr>
                                              <w:divsChild>
                                                <w:div w:id="1949968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401978">
                                          <w:marLeft w:val="0"/>
                                          <w:marRight w:val="0"/>
                                          <w:marTop w:val="0"/>
                                          <w:marBottom w:val="0"/>
                                          <w:divBdr>
                                            <w:top w:val="none" w:sz="0" w:space="0" w:color="auto"/>
                                            <w:left w:val="none" w:sz="0" w:space="0" w:color="auto"/>
                                            <w:bottom w:val="none" w:sz="0" w:space="0" w:color="auto"/>
                                            <w:right w:val="none" w:sz="0" w:space="0" w:color="auto"/>
                                          </w:divBdr>
                                          <w:divsChild>
                                            <w:div w:id="2093116536">
                                              <w:marLeft w:val="0"/>
                                              <w:marRight w:val="0"/>
                                              <w:marTop w:val="0"/>
                                              <w:marBottom w:val="0"/>
                                              <w:divBdr>
                                                <w:top w:val="none" w:sz="0" w:space="0" w:color="auto"/>
                                                <w:left w:val="none" w:sz="0" w:space="0" w:color="auto"/>
                                                <w:bottom w:val="none" w:sz="0" w:space="0" w:color="auto"/>
                                                <w:right w:val="none" w:sz="0" w:space="0" w:color="auto"/>
                                              </w:divBdr>
                                              <w:divsChild>
                                                <w:div w:id="162064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02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356604">
                                  <w:marLeft w:val="0"/>
                                  <w:marRight w:val="0"/>
                                  <w:marTop w:val="0"/>
                                  <w:marBottom w:val="0"/>
                                  <w:divBdr>
                                    <w:top w:val="none" w:sz="0" w:space="0" w:color="auto"/>
                                    <w:left w:val="none" w:sz="0" w:space="0" w:color="auto"/>
                                    <w:bottom w:val="none" w:sz="0" w:space="0" w:color="auto"/>
                                    <w:right w:val="none" w:sz="0" w:space="0" w:color="auto"/>
                                  </w:divBdr>
                                  <w:divsChild>
                                    <w:div w:id="1142385531">
                                      <w:marLeft w:val="0"/>
                                      <w:marRight w:val="0"/>
                                      <w:marTop w:val="0"/>
                                      <w:marBottom w:val="0"/>
                                      <w:divBdr>
                                        <w:top w:val="none" w:sz="0" w:space="0" w:color="auto"/>
                                        <w:left w:val="none" w:sz="0" w:space="0" w:color="auto"/>
                                        <w:bottom w:val="none" w:sz="0" w:space="0" w:color="auto"/>
                                        <w:right w:val="none" w:sz="0" w:space="0" w:color="auto"/>
                                      </w:divBdr>
                                      <w:divsChild>
                                        <w:div w:id="117388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4205963">
          <w:marLeft w:val="0"/>
          <w:marRight w:val="0"/>
          <w:marTop w:val="0"/>
          <w:marBottom w:val="0"/>
          <w:divBdr>
            <w:top w:val="none" w:sz="0" w:space="0" w:color="auto"/>
            <w:left w:val="none" w:sz="0" w:space="0" w:color="auto"/>
            <w:bottom w:val="none" w:sz="0" w:space="0" w:color="auto"/>
            <w:right w:val="none" w:sz="0" w:space="0" w:color="auto"/>
          </w:divBdr>
          <w:divsChild>
            <w:div w:id="1986618901">
              <w:marLeft w:val="0"/>
              <w:marRight w:val="0"/>
              <w:marTop w:val="0"/>
              <w:marBottom w:val="0"/>
              <w:divBdr>
                <w:top w:val="none" w:sz="0" w:space="0" w:color="auto"/>
                <w:left w:val="none" w:sz="0" w:space="0" w:color="auto"/>
                <w:bottom w:val="none" w:sz="0" w:space="0" w:color="auto"/>
                <w:right w:val="none" w:sz="0" w:space="0" w:color="auto"/>
              </w:divBdr>
              <w:divsChild>
                <w:div w:id="133722593">
                  <w:marLeft w:val="0"/>
                  <w:marRight w:val="0"/>
                  <w:marTop w:val="0"/>
                  <w:marBottom w:val="0"/>
                  <w:divBdr>
                    <w:top w:val="single" w:sz="6" w:space="0" w:color="0C1F30"/>
                    <w:left w:val="single" w:sz="6" w:space="0" w:color="0C1F30"/>
                    <w:bottom w:val="single" w:sz="6" w:space="0" w:color="0C1F30"/>
                    <w:right w:val="single" w:sz="6" w:space="0" w:color="0C1F30"/>
                  </w:divBdr>
                  <w:divsChild>
                    <w:div w:id="204952842">
                      <w:marLeft w:val="0"/>
                      <w:marRight w:val="0"/>
                      <w:marTop w:val="0"/>
                      <w:marBottom w:val="0"/>
                      <w:divBdr>
                        <w:top w:val="none" w:sz="0" w:space="0" w:color="auto"/>
                        <w:left w:val="none" w:sz="0" w:space="0" w:color="auto"/>
                        <w:bottom w:val="none" w:sz="0" w:space="0" w:color="auto"/>
                        <w:right w:val="none" w:sz="0" w:space="0" w:color="auto"/>
                      </w:divBdr>
                      <w:divsChild>
                        <w:div w:id="299649476">
                          <w:marLeft w:val="0"/>
                          <w:marRight w:val="0"/>
                          <w:marTop w:val="0"/>
                          <w:marBottom w:val="0"/>
                          <w:divBdr>
                            <w:top w:val="none" w:sz="0" w:space="0" w:color="auto"/>
                            <w:left w:val="none" w:sz="0" w:space="0" w:color="auto"/>
                            <w:bottom w:val="none" w:sz="0" w:space="0" w:color="auto"/>
                            <w:right w:val="none" w:sz="0" w:space="0" w:color="auto"/>
                          </w:divBdr>
                          <w:divsChild>
                            <w:div w:id="1113792581">
                              <w:marLeft w:val="0"/>
                              <w:marRight w:val="0"/>
                              <w:marTop w:val="0"/>
                              <w:marBottom w:val="0"/>
                              <w:divBdr>
                                <w:top w:val="none" w:sz="0" w:space="0" w:color="auto"/>
                                <w:left w:val="none" w:sz="0" w:space="0" w:color="auto"/>
                                <w:bottom w:val="none" w:sz="0" w:space="0" w:color="auto"/>
                                <w:right w:val="none" w:sz="0" w:space="0" w:color="auto"/>
                              </w:divBdr>
                              <w:divsChild>
                                <w:div w:id="163253751">
                                  <w:marLeft w:val="0"/>
                                  <w:marRight w:val="0"/>
                                  <w:marTop w:val="0"/>
                                  <w:marBottom w:val="0"/>
                                  <w:divBdr>
                                    <w:top w:val="none" w:sz="0" w:space="0" w:color="auto"/>
                                    <w:left w:val="none" w:sz="0" w:space="0" w:color="auto"/>
                                    <w:bottom w:val="none" w:sz="0" w:space="0" w:color="auto"/>
                                    <w:right w:val="none" w:sz="0" w:space="0" w:color="auto"/>
                                  </w:divBdr>
                                  <w:divsChild>
                                    <w:div w:id="1033462411">
                                      <w:marLeft w:val="0"/>
                                      <w:marRight w:val="0"/>
                                      <w:marTop w:val="0"/>
                                      <w:marBottom w:val="0"/>
                                      <w:divBdr>
                                        <w:top w:val="none" w:sz="0" w:space="0" w:color="auto"/>
                                        <w:left w:val="none" w:sz="0" w:space="0" w:color="auto"/>
                                        <w:bottom w:val="none" w:sz="0" w:space="0" w:color="auto"/>
                                        <w:right w:val="none" w:sz="0" w:space="0" w:color="auto"/>
                                      </w:divBdr>
                                      <w:divsChild>
                                        <w:div w:id="2011371146">
                                          <w:marLeft w:val="0"/>
                                          <w:marRight w:val="0"/>
                                          <w:marTop w:val="0"/>
                                          <w:marBottom w:val="0"/>
                                          <w:divBdr>
                                            <w:top w:val="none" w:sz="0" w:space="0" w:color="auto"/>
                                            <w:left w:val="none" w:sz="0" w:space="0" w:color="auto"/>
                                            <w:bottom w:val="none" w:sz="0" w:space="0" w:color="auto"/>
                                            <w:right w:val="none" w:sz="0" w:space="0" w:color="auto"/>
                                          </w:divBdr>
                                          <w:divsChild>
                                            <w:div w:id="51194826">
                                              <w:marLeft w:val="0"/>
                                              <w:marRight w:val="0"/>
                                              <w:marTop w:val="0"/>
                                              <w:marBottom w:val="0"/>
                                              <w:divBdr>
                                                <w:top w:val="none" w:sz="0" w:space="0" w:color="auto"/>
                                                <w:left w:val="none" w:sz="0" w:space="0" w:color="auto"/>
                                                <w:bottom w:val="none" w:sz="0" w:space="0" w:color="auto"/>
                                                <w:right w:val="none" w:sz="0" w:space="0" w:color="auto"/>
                                              </w:divBdr>
                                              <w:divsChild>
                                                <w:div w:id="1775202822">
                                                  <w:marLeft w:val="0"/>
                                                  <w:marRight w:val="0"/>
                                                  <w:marTop w:val="0"/>
                                                  <w:marBottom w:val="0"/>
                                                  <w:divBdr>
                                                    <w:top w:val="none" w:sz="0" w:space="0" w:color="auto"/>
                                                    <w:left w:val="none" w:sz="0" w:space="0" w:color="auto"/>
                                                    <w:bottom w:val="none" w:sz="0" w:space="0" w:color="auto"/>
                                                    <w:right w:val="none" w:sz="0" w:space="0" w:color="auto"/>
                                                  </w:divBdr>
                                                  <w:divsChild>
                                                    <w:div w:id="60256530">
                                                      <w:marLeft w:val="0"/>
                                                      <w:marRight w:val="0"/>
                                                      <w:marTop w:val="0"/>
                                                      <w:marBottom w:val="0"/>
                                                      <w:divBdr>
                                                        <w:top w:val="none" w:sz="0" w:space="0" w:color="auto"/>
                                                        <w:left w:val="none" w:sz="0" w:space="0" w:color="auto"/>
                                                        <w:bottom w:val="none" w:sz="0" w:space="0" w:color="auto"/>
                                                        <w:right w:val="none" w:sz="0" w:space="0" w:color="auto"/>
                                                      </w:divBdr>
                                                      <w:divsChild>
                                                        <w:div w:id="647710518">
                                                          <w:marLeft w:val="0"/>
                                                          <w:marRight w:val="0"/>
                                                          <w:marTop w:val="0"/>
                                                          <w:marBottom w:val="0"/>
                                                          <w:divBdr>
                                                            <w:top w:val="none" w:sz="0" w:space="0" w:color="auto"/>
                                                            <w:left w:val="none" w:sz="0" w:space="0" w:color="auto"/>
                                                            <w:bottom w:val="none" w:sz="0" w:space="0" w:color="auto"/>
                                                            <w:right w:val="none" w:sz="0" w:space="0" w:color="auto"/>
                                                          </w:divBdr>
                                                          <w:divsChild>
                                                            <w:div w:id="1872762148">
                                                              <w:marLeft w:val="0"/>
                                                              <w:marRight w:val="0"/>
                                                              <w:marTop w:val="0"/>
                                                              <w:marBottom w:val="0"/>
                                                              <w:divBdr>
                                                                <w:top w:val="none" w:sz="0" w:space="0" w:color="auto"/>
                                                                <w:left w:val="none" w:sz="0" w:space="0" w:color="auto"/>
                                                                <w:bottom w:val="none" w:sz="0" w:space="0" w:color="auto"/>
                                                                <w:right w:val="none" w:sz="0" w:space="0" w:color="auto"/>
                                                              </w:divBdr>
                                                              <w:divsChild>
                                                                <w:div w:id="1003972204">
                                                                  <w:marLeft w:val="0"/>
                                                                  <w:marRight w:val="0"/>
                                                                  <w:marTop w:val="0"/>
                                                                  <w:marBottom w:val="0"/>
                                                                  <w:divBdr>
                                                                    <w:top w:val="none" w:sz="0" w:space="0" w:color="auto"/>
                                                                    <w:left w:val="none" w:sz="0" w:space="0" w:color="auto"/>
                                                                    <w:bottom w:val="none" w:sz="0" w:space="0" w:color="auto"/>
                                                                    <w:right w:val="none" w:sz="0" w:space="0" w:color="auto"/>
                                                                  </w:divBdr>
                                                                  <w:divsChild>
                                                                    <w:div w:id="1394086985">
                                                                      <w:marLeft w:val="0"/>
                                                                      <w:marRight w:val="0"/>
                                                                      <w:marTop w:val="0"/>
                                                                      <w:marBottom w:val="0"/>
                                                                      <w:divBdr>
                                                                        <w:top w:val="none" w:sz="0" w:space="0" w:color="auto"/>
                                                                        <w:left w:val="none" w:sz="0" w:space="0" w:color="auto"/>
                                                                        <w:bottom w:val="none" w:sz="0" w:space="0" w:color="auto"/>
                                                                        <w:right w:val="none" w:sz="0" w:space="0" w:color="auto"/>
                                                                      </w:divBdr>
                                                                      <w:divsChild>
                                                                        <w:div w:id="1485733018">
                                                                          <w:marLeft w:val="0"/>
                                                                          <w:marRight w:val="0"/>
                                                                          <w:marTop w:val="0"/>
                                                                          <w:marBottom w:val="0"/>
                                                                          <w:divBdr>
                                                                            <w:top w:val="none" w:sz="0" w:space="0" w:color="auto"/>
                                                                            <w:left w:val="none" w:sz="0" w:space="0" w:color="auto"/>
                                                                            <w:bottom w:val="none" w:sz="0" w:space="0" w:color="auto"/>
                                                                            <w:right w:val="none" w:sz="0" w:space="0" w:color="auto"/>
                                                                          </w:divBdr>
                                                                          <w:divsChild>
                                                                            <w:div w:id="1005598319">
                                                                              <w:marLeft w:val="0"/>
                                                                              <w:marRight w:val="0"/>
                                                                              <w:marTop w:val="0"/>
                                                                              <w:marBottom w:val="0"/>
                                                                              <w:divBdr>
                                                                                <w:top w:val="none" w:sz="0" w:space="0" w:color="auto"/>
                                                                                <w:left w:val="none" w:sz="0" w:space="0" w:color="auto"/>
                                                                                <w:bottom w:val="none" w:sz="0" w:space="0" w:color="auto"/>
                                                                                <w:right w:val="none" w:sz="0" w:space="0" w:color="auto"/>
                                                                              </w:divBdr>
                                                                              <w:divsChild>
                                                                                <w:div w:id="1327712843">
                                                                                  <w:marLeft w:val="0"/>
                                                                                  <w:marRight w:val="0"/>
                                                                                  <w:marTop w:val="0"/>
                                                                                  <w:marBottom w:val="0"/>
                                                                                  <w:divBdr>
                                                                                    <w:top w:val="none" w:sz="0" w:space="0" w:color="auto"/>
                                                                                    <w:left w:val="none" w:sz="0" w:space="0" w:color="auto"/>
                                                                                    <w:bottom w:val="none" w:sz="0" w:space="0" w:color="auto"/>
                                                                                    <w:right w:val="none" w:sz="0" w:space="0" w:color="auto"/>
                                                                                  </w:divBdr>
                                                                                  <w:divsChild>
                                                                                    <w:div w:id="1379819545">
                                                                                      <w:marLeft w:val="150"/>
                                                                                      <w:marRight w:val="150"/>
                                                                                      <w:marTop w:val="150"/>
                                                                                      <w:marBottom w:val="150"/>
                                                                                      <w:divBdr>
                                                                                        <w:top w:val="none" w:sz="0" w:space="0" w:color="auto"/>
                                                                                        <w:left w:val="none" w:sz="0" w:space="0" w:color="auto"/>
                                                                                        <w:bottom w:val="none" w:sz="0" w:space="0" w:color="auto"/>
                                                                                        <w:right w:val="none" w:sz="0" w:space="0" w:color="auto"/>
                                                                                      </w:divBdr>
                                                                                      <w:divsChild>
                                                                                        <w:div w:id="1607881462">
                                                                                          <w:marLeft w:val="0"/>
                                                                                          <w:marRight w:val="0"/>
                                                                                          <w:marTop w:val="0"/>
                                                                                          <w:marBottom w:val="0"/>
                                                                                          <w:divBdr>
                                                                                            <w:top w:val="none" w:sz="0" w:space="0" w:color="auto"/>
                                                                                            <w:left w:val="none" w:sz="0" w:space="0" w:color="auto"/>
                                                                                            <w:bottom w:val="none" w:sz="0" w:space="0" w:color="auto"/>
                                                                                            <w:right w:val="none" w:sz="0" w:space="0" w:color="auto"/>
                                                                                          </w:divBdr>
                                                                                          <w:divsChild>
                                                                                            <w:div w:id="855537862">
                                                                                              <w:marLeft w:val="0"/>
                                                                                              <w:marRight w:val="0"/>
                                                                                              <w:marTop w:val="0"/>
                                                                                              <w:marBottom w:val="0"/>
                                                                                              <w:divBdr>
                                                                                                <w:top w:val="none" w:sz="0" w:space="0" w:color="auto"/>
                                                                                                <w:left w:val="none" w:sz="0" w:space="0" w:color="auto"/>
                                                                                                <w:bottom w:val="none" w:sz="0" w:space="0" w:color="auto"/>
                                                                                                <w:right w:val="none" w:sz="0" w:space="0" w:color="auto"/>
                                                                                              </w:divBdr>
                                                                                              <w:divsChild>
                                                                                                <w:div w:id="409275307">
                                                                                                  <w:marLeft w:val="0"/>
                                                                                                  <w:marRight w:val="0"/>
                                                                                                  <w:marTop w:val="0"/>
                                                                                                  <w:marBottom w:val="0"/>
                                                                                                  <w:divBdr>
                                                                                                    <w:top w:val="none" w:sz="0" w:space="0" w:color="auto"/>
                                                                                                    <w:left w:val="none" w:sz="0" w:space="0" w:color="auto"/>
                                                                                                    <w:bottom w:val="none" w:sz="0" w:space="0" w:color="auto"/>
                                                                                                    <w:right w:val="none" w:sz="0" w:space="0" w:color="auto"/>
                                                                                                  </w:divBdr>
                                                                                                  <w:divsChild>
                                                                                                    <w:div w:id="840507051">
                                                                                                      <w:marLeft w:val="0"/>
                                                                                                      <w:marRight w:val="0"/>
                                                                                                      <w:marTop w:val="0"/>
                                                                                                      <w:marBottom w:val="0"/>
                                                                                                      <w:divBdr>
                                                                                                        <w:top w:val="none" w:sz="0" w:space="0" w:color="auto"/>
                                                                                                        <w:left w:val="none" w:sz="0" w:space="0" w:color="auto"/>
                                                                                                        <w:bottom w:val="none" w:sz="0" w:space="0" w:color="auto"/>
                                                                                                        <w:right w:val="none" w:sz="0" w:space="0" w:color="auto"/>
                                                                                                      </w:divBdr>
                                                                                                      <w:divsChild>
                                                                                                        <w:div w:id="1375035450">
                                                                                                          <w:marLeft w:val="0"/>
                                                                                                          <w:marRight w:val="0"/>
                                                                                                          <w:marTop w:val="0"/>
                                                                                                          <w:marBottom w:val="0"/>
                                                                                                          <w:divBdr>
                                                                                                            <w:top w:val="none" w:sz="0" w:space="0" w:color="auto"/>
                                                                                                            <w:left w:val="none" w:sz="0" w:space="0" w:color="auto"/>
                                                                                                            <w:bottom w:val="none" w:sz="0" w:space="0" w:color="auto"/>
                                                                                                            <w:right w:val="none" w:sz="0" w:space="0" w:color="auto"/>
                                                                                                          </w:divBdr>
                                                                                                          <w:divsChild>
                                                                                                            <w:div w:id="1536455904">
                                                                                                              <w:marLeft w:val="0"/>
                                                                                                              <w:marRight w:val="0"/>
                                                                                                              <w:marTop w:val="0"/>
                                                                                                              <w:marBottom w:val="0"/>
                                                                                                              <w:divBdr>
                                                                                                                <w:top w:val="none" w:sz="0" w:space="0" w:color="auto"/>
                                                                                                                <w:left w:val="none" w:sz="0" w:space="0" w:color="auto"/>
                                                                                                                <w:bottom w:val="none" w:sz="0" w:space="0" w:color="auto"/>
                                                                                                                <w:right w:val="none" w:sz="0" w:space="0" w:color="auto"/>
                                                                                                              </w:divBdr>
                                                                                                              <w:divsChild>
                                                                                                                <w:div w:id="1242984972">
                                                                                                                  <w:marLeft w:val="0"/>
                                                                                                                  <w:marRight w:val="0"/>
                                                                                                                  <w:marTop w:val="0"/>
                                                                                                                  <w:marBottom w:val="0"/>
                                                                                                                  <w:divBdr>
                                                                                                                    <w:top w:val="none" w:sz="0" w:space="0" w:color="auto"/>
                                                                                                                    <w:left w:val="none" w:sz="0" w:space="0" w:color="auto"/>
                                                                                                                    <w:bottom w:val="none" w:sz="0" w:space="0" w:color="auto"/>
                                                                                                                    <w:right w:val="none" w:sz="0" w:space="0" w:color="auto"/>
                                                                                                                  </w:divBdr>
                                                                                                                  <w:divsChild>
                                                                                                                    <w:div w:id="1490824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341090">
      <w:bodyDiv w:val="1"/>
      <w:marLeft w:val="0"/>
      <w:marRight w:val="0"/>
      <w:marTop w:val="0"/>
      <w:marBottom w:val="0"/>
      <w:divBdr>
        <w:top w:val="none" w:sz="0" w:space="0" w:color="auto"/>
        <w:left w:val="none" w:sz="0" w:space="0" w:color="auto"/>
        <w:bottom w:val="none" w:sz="0" w:space="0" w:color="auto"/>
        <w:right w:val="none" w:sz="0" w:space="0" w:color="auto"/>
      </w:divBdr>
    </w:div>
    <w:div w:id="1980915583">
      <w:bodyDiv w:val="1"/>
      <w:marLeft w:val="0"/>
      <w:marRight w:val="0"/>
      <w:marTop w:val="0"/>
      <w:marBottom w:val="0"/>
      <w:divBdr>
        <w:top w:val="none" w:sz="0" w:space="0" w:color="auto"/>
        <w:left w:val="none" w:sz="0" w:space="0" w:color="auto"/>
        <w:bottom w:val="none" w:sz="0" w:space="0" w:color="auto"/>
        <w:right w:val="none" w:sz="0" w:space="0" w:color="auto"/>
      </w:divBdr>
    </w:div>
    <w:div w:id="1990595756">
      <w:bodyDiv w:val="1"/>
      <w:marLeft w:val="0"/>
      <w:marRight w:val="0"/>
      <w:marTop w:val="0"/>
      <w:marBottom w:val="0"/>
      <w:divBdr>
        <w:top w:val="none" w:sz="0" w:space="0" w:color="auto"/>
        <w:left w:val="none" w:sz="0" w:space="0" w:color="auto"/>
        <w:bottom w:val="none" w:sz="0" w:space="0" w:color="auto"/>
        <w:right w:val="none" w:sz="0" w:space="0" w:color="auto"/>
      </w:divBdr>
    </w:div>
    <w:div w:id="2000618975">
      <w:bodyDiv w:val="1"/>
      <w:marLeft w:val="0"/>
      <w:marRight w:val="0"/>
      <w:marTop w:val="0"/>
      <w:marBottom w:val="0"/>
      <w:divBdr>
        <w:top w:val="none" w:sz="0" w:space="0" w:color="auto"/>
        <w:left w:val="none" w:sz="0" w:space="0" w:color="auto"/>
        <w:bottom w:val="none" w:sz="0" w:space="0" w:color="auto"/>
        <w:right w:val="none" w:sz="0" w:space="0" w:color="auto"/>
      </w:divBdr>
    </w:div>
    <w:div w:id="2054452260">
      <w:bodyDiv w:val="1"/>
      <w:marLeft w:val="0"/>
      <w:marRight w:val="0"/>
      <w:marTop w:val="0"/>
      <w:marBottom w:val="0"/>
      <w:divBdr>
        <w:top w:val="none" w:sz="0" w:space="0" w:color="auto"/>
        <w:left w:val="none" w:sz="0" w:space="0" w:color="auto"/>
        <w:bottom w:val="none" w:sz="0" w:space="0" w:color="auto"/>
        <w:right w:val="none" w:sz="0" w:space="0" w:color="auto"/>
      </w:divBdr>
    </w:div>
    <w:div w:id="2088914857">
      <w:bodyDiv w:val="1"/>
      <w:marLeft w:val="0"/>
      <w:marRight w:val="0"/>
      <w:marTop w:val="0"/>
      <w:marBottom w:val="0"/>
      <w:divBdr>
        <w:top w:val="none" w:sz="0" w:space="0" w:color="auto"/>
        <w:left w:val="none" w:sz="0" w:space="0" w:color="auto"/>
        <w:bottom w:val="none" w:sz="0" w:space="0" w:color="auto"/>
        <w:right w:val="none" w:sz="0" w:space="0" w:color="auto"/>
      </w:divBdr>
      <w:divsChild>
        <w:div w:id="378746910">
          <w:marLeft w:val="1800"/>
          <w:marRight w:val="0"/>
          <w:marTop w:val="100"/>
          <w:marBottom w:val="0"/>
          <w:divBdr>
            <w:top w:val="none" w:sz="0" w:space="0" w:color="auto"/>
            <w:left w:val="none" w:sz="0" w:space="0" w:color="auto"/>
            <w:bottom w:val="none" w:sz="0" w:space="0" w:color="auto"/>
            <w:right w:val="none" w:sz="0" w:space="0" w:color="auto"/>
          </w:divBdr>
        </w:div>
        <w:div w:id="477918905">
          <w:marLeft w:val="1080"/>
          <w:marRight w:val="0"/>
          <w:marTop w:val="100"/>
          <w:marBottom w:val="0"/>
          <w:divBdr>
            <w:top w:val="none" w:sz="0" w:space="0" w:color="auto"/>
            <w:left w:val="none" w:sz="0" w:space="0" w:color="auto"/>
            <w:bottom w:val="none" w:sz="0" w:space="0" w:color="auto"/>
            <w:right w:val="none" w:sz="0" w:space="0" w:color="auto"/>
          </w:divBdr>
        </w:div>
        <w:div w:id="499662105">
          <w:marLeft w:val="360"/>
          <w:marRight w:val="0"/>
          <w:marTop w:val="200"/>
          <w:marBottom w:val="0"/>
          <w:divBdr>
            <w:top w:val="none" w:sz="0" w:space="0" w:color="auto"/>
            <w:left w:val="none" w:sz="0" w:space="0" w:color="auto"/>
            <w:bottom w:val="none" w:sz="0" w:space="0" w:color="auto"/>
            <w:right w:val="none" w:sz="0" w:space="0" w:color="auto"/>
          </w:divBdr>
        </w:div>
        <w:div w:id="1179197198">
          <w:marLeft w:val="1080"/>
          <w:marRight w:val="0"/>
          <w:marTop w:val="100"/>
          <w:marBottom w:val="0"/>
          <w:divBdr>
            <w:top w:val="none" w:sz="0" w:space="0" w:color="auto"/>
            <w:left w:val="none" w:sz="0" w:space="0" w:color="auto"/>
            <w:bottom w:val="none" w:sz="0" w:space="0" w:color="auto"/>
            <w:right w:val="none" w:sz="0" w:space="0" w:color="auto"/>
          </w:divBdr>
        </w:div>
      </w:divsChild>
    </w:div>
    <w:div w:id="2093507387">
      <w:bodyDiv w:val="1"/>
      <w:marLeft w:val="0"/>
      <w:marRight w:val="0"/>
      <w:marTop w:val="0"/>
      <w:marBottom w:val="0"/>
      <w:divBdr>
        <w:top w:val="none" w:sz="0" w:space="0" w:color="auto"/>
        <w:left w:val="none" w:sz="0" w:space="0" w:color="auto"/>
        <w:bottom w:val="none" w:sz="0" w:space="0" w:color="auto"/>
        <w:right w:val="none" w:sz="0" w:space="0" w:color="auto"/>
      </w:divBdr>
    </w:div>
    <w:div w:id="2130514965">
      <w:bodyDiv w:val="1"/>
      <w:marLeft w:val="0"/>
      <w:marRight w:val="0"/>
      <w:marTop w:val="0"/>
      <w:marBottom w:val="0"/>
      <w:divBdr>
        <w:top w:val="none" w:sz="0" w:space="0" w:color="auto"/>
        <w:left w:val="none" w:sz="0" w:space="0" w:color="auto"/>
        <w:bottom w:val="none" w:sz="0" w:space="0" w:color="auto"/>
        <w:right w:val="none" w:sz="0" w:space="0" w:color="auto"/>
      </w:divBdr>
    </w:div>
    <w:div w:id="21405646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doi.org/10.1037/0021-843X.100.3.316" TargetMode="External"/><Relationship Id="rId18" Type="http://schemas.openxmlformats.org/officeDocument/2006/relationships/hyperlink" Target="https://doi.org/10.1016/j.apmr.2012.03.036"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doi.org/10.1146/annurev-clinpsy-081219-093304" TargetMode="External"/><Relationship Id="rId7" Type="http://schemas.openxmlformats.org/officeDocument/2006/relationships/endnotes" Target="endnotes.xml"/><Relationship Id="rId12" Type="http://schemas.openxmlformats.org/officeDocument/2006/relationships/hyperlink" Target="https://doi.org/10.1080/02699052.2016.1201593" TargetMode="External"/><Relationship Id="rId17" Type="http://schemas.openxmlformats.org/officeDocument/2006/relationships/hyperlink" Target="https://doi.org/10.1080/13803395.2013.863832"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doi.org/10.1017/S003329171100033X" TargetMode="External"/><Relationship Id="rId20" Type="http://schemas.openxmlformats.org/officeDocument/2006/relationships/hyperlink" Target="https://doi.org/10.1037/abn0000258" TargetMode="External"/><Relationship Id="rId29"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3390/jcm10051035" TargetMode="External"/><Relationship Id="rId24" Type="http://schemas.openxmlformats.org/officeDocument/2006/relationships/hyperlink" Target="https://doi.org/10.18637/jss.v048.i02" TargetMode="External"/><Relationship Id="rId5" Type="http://schemas.openxmlformats.org/officeDocument/2006/relationships/webSettings" Target="webSettings.xml"/><Relationship Id="rId15" Type="http://schemas.openxmlformats.org/officeDocument/2006/relationships/hyperlink" Target="https://doi.org/10.1016/j.paid.2012.11.025" TargetMode="External"/><Relationship Id="rId23" Type="http://schemas.openxmlformats.org/officeDocument/2006/relationships/hyperlink" Target="https://www.R-project.org/" TargetMode="External"/><Relationship Id="rId28" Type="http://schemas.openxmlformats.org/officeDocument/2006/relationships/theme" Target="theme/theme1.xml"/><Relationship Id="rId10" Type="http://schemas.openxmlformats.org/officeDocument/2006/relationships/hyperlink" Target="https://www2.psy.unsw.edu.au/dass/DASSFAQ.htm" TargetMode="External"/><Relationship Id="rId19" Type="http://schemas.openxmlformats.org/officeDocument/2006/relationships/hyperlink" Target="https://doi.org/10.1177/2167696817745407" TargetMode="External"/><Relationship Id="rId4" Type="http://schemas.openxmlformats.org/officeDocument/2006/relationships/settings" Target="settings.xml"/><Relationship Id="rId9" Type="http://schemas.openxmlformats.org/officeDocument/2006/relationships/image" Target="media/image2.tiff"/><Relationship Id="rId14" Type="http://schemas.openxmlformats.org/officeDocument/2006/relationships/hyperlink" Target="https://doi.org/10.1016/j.jad.2013.06.011" TargetMode="External"/><Relationship Id="rId22" Type="http://schemas.openxmlformats.org/officeDocument/2006/relationships/hyperlink" Target="https://doi.org/10.1017/S1352465817000777" TargetMode="Externa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09B6EE47A534C41A6F164C829BD16AA"/>
        <w:category>
          <w:name w:val="General"/>
          <w:gallery w:val="placeholder"/>
        </w:category>
        <w:types>
          <w:type w:val="bbPlcHdr"/>
        </w:types>
        <w:behaviors>
          <w:behavior w:val="content"/>
        </w:behaviors>
        <w:guid w:val="{6CE8E9E7-E1A1-49F4-AE69-8A2AA5B70E88}"/>
      </w:docPartPr>
      <w:docPartBody>
        <w:p w:rsidR="00E56B1A" w:rsidRDefault="004007D4" w:rsidP="004007D4">
          <w:pPr>
            <w:pStyle w:val="A09B6EE47A534C41A6F164C829BD16AA"/>
          </w:pPr>
          <w:r>
            <w:t>[Title Here, up to 12 Words, on One to Two Lines]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Abadi">
    <w:charset w:val="00"/>
    <w:family w:val="swiss"/>
    <w:pitch w:val="variable"/>
    <w:sig w:usb0="8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HGSMinchoE">
    <w:charset w:val="80"/>
    <w:family w:val="roman"/>
    <w:pitch w:val="variable"/>
    <w:sig w:usb0="E00002FF" w:usb1="2AC7EDFE" w:usb2="00000012" w:usb3="00000000" w:csb0="0002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7D4"/>
    <w:rsid w:val="001A7D67"/>
    <w:rsid w:val="002A3461"/>
    <w:rsid w:val="004007D4"/>
    <w:rsid w:val="005E7254"/>
    <w:rsid w:val="007D4251"/>
    <w:rsid w:val="00E42C7C"/>
    <w:rsid w:val="00E56B1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AU" w:eastAsia="en-AU"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9B6EE47A534C41A6F164C829BD16AA">
    <w:name w:val="A09B6EE47A534C41A6F164C829BD16AA"/>
    <w:rsid w:val="004007D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electedStyle="\APASixthEditionOfficeOnline.xsl" StyleName="APA" Version="6">
  <b:Source>
    <b:Tag>Article</b:Tag>
    <b:SourceType>JournalArticle</b:SourceType>
    <b:Guid>{A9826F97-9AB6-4323-9880-F46D9FA5FDF4}</b:Guid>
    <b:Title>Article Title</b:Title>
    <b:Year>Year</b:Year>
    <b:JournalName>Journal Title</b:JournalName>
    <b:Pages>Pages From - To</b:Pages>
    <b:Author>
      <b:Author>
        <b:NameList>
          <b:Person>
            <b:Last>Last Name</b:Last>
            <b:First>First,</b:First>
            <b:Middle>Middle</b:Middle>
          </b:Person>
        </b:NameList>
      </b:Author>
    </b:Author>
    <b:RefOrder>1</b:RefOrder>
  </b:Source>
  <b:Source>
    <b:Tag>Last</b:Tag>
    <b:SourceType>Book</b:SourceType>
    <b:Guid>{60AAA012-579D-4CB3-B717-40E27E8995F9}</b:Guid>
    <b:Title>Book Title</b:Title>
    <b:Year>Year</b:Year>
    <b:City>City Name</b:City>
    <b:Publisher>Publisher Name</b:Publisher>
    <b:Author>
      <b:Author>
        <b:NameList>
          <b:Person>
            <b:Last>Last Name</b:Last>
            <b:First>First,</b:First>
            <b:Middle>Middle</b:Middle>
          </b:Person>
        </b:NameList>
      </b:Author>
    </b:Author>
    <b:RefOrder>2</b:RefOrder>
  </b:Source>
</b:Sources>
</file>

<file path=customXml/itemProps1.xml><?xml version="1.0" encoding="utf-8"?>
<ds:datastoreItem xmlns:ds="http://schemas.openxmlformats.org/officeDocument/2006/customXml" ds:itemID="{CB4A40B0-AFFD-4314-B3E8-F9535E75F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48</Pages>
  <Words>12917</Words>
  <Characters>73633</Characters>
  <Application>Microsoft Office Word</Application>
  <DocSecurity>0</DocSecurity>
  <Lines>613</Lines>
  <Paragraphs>172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86378</CharactersWithSpaces>
  <SharedDoc>false</SharedDoc>
  <HLinks>
    <vt:vector size="108" baseType="variant">
      <vt:variant>
        <vt:i4>3145833</vt:i4>
      </vt:variant>
      <vt:variant>
        <vt:i4>81</vt:i4>
      </vt:variant>
      <vt:variant>
        <vt:i4>0</vt:i4>
      </vt:variant>
      <vt:variant>
        <vt:i4>5</vt:i4>
      </vt:variant>
      <vt:variant>
        <vt:lpwstr>https://doi.org/10.1016/j.chest.2018.12</vt:lpwstr>
      </vt:variant>
      <vt:variant>
        <vt:lpwstr/>
      </vt:variant>
      <vt:variant>
        <vt:i4>2228320</vt:i4>
      </vt:variant>
      <vt:variant>
        <vt:i4>78</vt:i4>
      </vt:variant>
      <vt:variant>
        <vt:i4>0</vt:i4>
      </vt:variant>
      <vt:variant>
        <vt:i4>5</vt:i4>
      </vt:variant>
      <vt:variant>
        <vt:lpwstr>https://doi.org/10.1111/cpsp.12362</vt:lpwstr>
      </vt:variant>
      <vt:variant>
        <vt:lpwstr/>
      </vt:variant>
      <vt:variant>
        <vt:i4>3473459</vt:i4>
      </vt:variant>
      <vt:variant>
        <vt:i4>75</vt:i4>
      </vt:variant>
      <vt:variant>
        <vt:i4>0</vt:i4>
      </vt:variant>
      <vt:variant>
        <vt:i4>5</vt:i4>
      </vt:variant>
      <vt:variant>
        <vt:lpwstr>https://doi.org/10.1037/0021-843X.97.3.346</vt:lpwstr>
      </vt:variant>
      <vt:variant>
        <vt:lpwstr/>
      </vt:variant>
      <vt:variant>
        <vt:i4>1114204</vt:i4>
      </vt:variant>
      <vt:variant>
        <vt:i4>72</vt:i4>
      </vt:variant>
      <vt:variant>
        <vt:i4>0</vt:i4>
      </vt:variant>
      <vt:variant>
        <vt:i4>5</vt:i4>
      </vt:variant>
      <vt:variant>
        <vt:lpwstr>https://doi.org/10.1177/2167702616651076</vt:lpwstr>
      </vt:variant>
      <vt:variant>
        <vt:lpwstr/>
      </vt:variant>
      <vt:variant>
        <vt:i4>4718658</vt:i4>
      </vt:variant>
      <vt:variant>
        <vt:i4>69</vt:i4>
      </vt:variant>
      <vt:variant>
        <vt:i4>0</vt:i4>
      </vt:variant>
      <vt:variant>
        <vt:i4>5</vt:i4>
      </vt:variant>
      <vt:variant>
        <vt:lpwstr>https://doi.org/10.18637/jss.v048.i02</vt:lpwstr>
      </vt:variant>
      <vt:variant>
        <vt:lpwstr/>
      </vt:variant>
      <vt:variant>
        <vt:i4>7143476</vt:i4>
      </vt:variant>
      <vt:variant>
        <vt:i4>66</vt:i4>
      </vt:variant>
      <vt:variant>
        <vt:i4>0</vt:i4>
      </vt:variant>
      <vt:variant>
        <vt:i4>5</vt:i4>
      </vt:variant>
      <vt:variant>
        <vt:lpwstr>https://www.r-project.org/</vt:lpwstr>
      </vt:variant>
      <vt:variant>
        <vt:lpwstr/>
      </vt:variant>
      <vt:variant>
        <vt:i4>3342449</vt:i4>
      </vt:variant>
      <vt:variant>
        <vt:i4>63</vt:i4>
      </vt:variant>
      <vt:variant>
        <vt:i4>0</vt:i4>
      </vt:variant>
      <vt:variant>
        <vt:i4>5</vt:i4>
      </vt:variant>
      <vt:variant>
        <vt:lpwstr>https://doi.org/10.1002/jclp.21908</vt:lpwstr>
      </vt:variant>
      <vt:variant>
        <vt:lpwstr/>
      </vt:variant>
      <vt:variant>
        <vt:i4>1114129</vt:i4>
      </vt:variant>
      <vt:variant>
        <vt:i4>60</vt:i4>
      </vt:variant>
      <vt:variant>
        <vt:i4>0</vt:i4>
      </vt:variant>
      <vt:variant>
        <vt:i4>5</vt:i4>
      </vt:variant>
      <vt:variant>
        <vt:lpwstr>https://doi.org/10.1017/S1352465817000777</vt:lpwstr>
      </vt:variant>
      <vt:variant>
        <vt:lpwstr/>
      </vt:variant>
      <vt:variant>
        <vt:i4>1966171</vt:i4>
      </vt:variant>
      <vt:variant>
        <vt:i4>57</vt:i4>
      </vt:variant>
      <vt:variant>
        <vt:i4>0</vt:i4>
      </vt:variant>
      <vt:variant>
        <vt:i4>5</vt:i4>
      </vt:variant>
      <vt:variant>
        <vt:lpwstr>https://doi.org/10.1177/1948550617697177</vt:lpwstr>
      </vt:variant>
      <vt:variant>
        <vt:lpwstr/>
      </vt:variant>
      <vt:variant>
        <vt:i4>1572930</vt:i4>
      </vt:variant>
      <vt:variant>
        <vt:i4>54</vt:i4>
      </vt:variant>
      <vt:variant>
        <vt:i4>0</vt:i4>
      </vt:variant>
      <vt:variant>
        <vt:i4>5</vt:i4>
      </vt:variant>
      <vt:variant>
        <vt:lpwstr>https://doi.org/10.1146/annurev-clinpsy-081219-093304</vt:lpwstr>
      </vt:variant>
      <vt:variant>
        <vt:lpwstr/>
      </vt:variant>
      <vt:variant>
        <vt:i4>7864423</vt:i4>
      </vt:variant>
      <vt:variant>
        <vt:i4>51</vt:i4>
      </vt:variant>
      <vt:variant>
        <vt:i4>0</vt:i4>
      </vt:variant>
      <vt:variant>
        <vt:i4>5</vt:i4>
      </vt:variant>
      <vt:variant>
        <vt:lpwstr>https://doi.org/10.1037/abn0000258</vt:lpwstr>
      </vt:variant>
      <vt:variant>
        <vt:lpwstr/>
      </vt:variant>
      <vt:variant>
        <vt:i4>1245275</vt:i4>
      </vt:variant>
      <vt:variant>
        <vt:i4>48</vt:i4>
      </vt:variant>
      <vt:variant>
        <vt:i4>0</vt:i4>
      </vt:variant>
      <vt:variant>
        <vt:i4>5</vt:i4>
      </vt:variant>
      <vt:variant>
        <vt:lpwstr>https://doi.org/10.1177/2167696817745407</vt:lpwstr>
      </vt:variant>
      <vt:variant>
        <vt:lpwstr/>
      </vt:variant>
      <vt:variant>
        <vt:i4>1048593</vt:i4>
      </vt:variant>
      <vt:variant>
        <vt:i4>45</vt:i4>
      </vt:variant>
      <vt:variant>
        <vt:i4>0</vt:i4>
      </vt:variant>
      <vt:variant>
        <vt:i4>5</vt:i4>
      </vt:variant>
      <vt:variant>
        <vt:lpwstr>https://doi.org/10.1017/S003329171100033X</vt:lpwstr>
      </vt:variant>
      <vt:variant>
        <vt:lpwstr/>
      </vt:variant>
      <vt:variant>
        <vt:i4>2097198</vt:i4>
      </vt:variant>
      <vt:variant>
        <vt:i4>42</vt:i4>
      </vt:variant>
      <vt:variant>
        <vt:i4>0</vt:i4>
      </vt:variant>
      <vt:variant>
        <vt:i4>5</vt:i4>
      </vt:variant>
      <vt:variant>
        <vt:lpwstr>https://doi.org/10.1016/j.paid.2012.11.025</vt:lpwstr>
      </vt:variant>
      <vt:variant>
        <vt:lpwstr/>
      </vt:variant>
      <vt:variant>
        <vt:i4>6225939</vt:i4>
      </vt:variant>
      <vt:variant>
        <vt:i4>39</vt:i4>
      </vt:variant>
      <vt:variant>
        <vt:i4>0</vt:i4>
      </vt:variant>
      <vt:variant>
        <vt:i4>5</vt:i4>
      </vt:variant>
      <vt:variant>
        <vt:lpwstr>https://doi.org/10.1016/j.jad.2013.06.011</vt:lpwstr>
      </vt:variant>
      <vt:variant>
        <vt:lpwstr/>
      </vt:variant>
      <vt:variant>
        <vt:i4>3473471</vt:i4>
      </vt:variant>
      <vt:variant>
        <vt:i4>36</vt:i4>
      </vt:variant>
      <vt:variant>
        <vt:i4>0</vt:i4>
      </vt:variant>
      <vt:variant>
        <vt:i4>5</vt:i4>
      </vt:variant>
      <vt:variant>
        <vt:lpwstr>https://doi.org/10.1037/0021-843X.100.3.316</vt:lpwstr>
      </vt:variant>
      <vt:variant>
        <vt:lpwstr/>
      </vt:variant>
      <vt:variant>
        <vt:i4>327756</vt:i4>
      </vt:variant>
      <vt:variant>
        <vt:i4>33</vt:i4>
      </vt:variant>
      <vt:variant>
        <vt:i4>0</vt:i4>
      </vt:variant>
      <vt:variant>
        <vt:i4>5</vt:i4>
      </vt:variant>
      <vt:variant>
        <vt:lpwstr>https://doi.org/10.1080/02699052.2016.1201593</vt:lpwstr>
      </vt:variant>
      <vt:variant>
        <vt:lpwstr/>
      </vt:variant>
      <vt:variant>
        <vt:i4>7864427</vt:i4>
      </vt:variant>
      <vt:variant>
        <vt:i4>30</vt:i4>
      </vt:variant>
      <vt:variant>
        <vt:i4>0</vt:i4>
      </vt:variant>
      <vt:variant>
        <vt:i4>5</vt:i4>
      </vt:variant>
      <vt:variant>
        <vt:lpwstr>https://doi.org/10.3390/jcm10051035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Reconceptualizing the Factor Structure of the Depression Anxiety Stress Scales (DASS) for Traumatic Brain Injury</dc:title>
  <dc:subject/>
  <dc:creator>Alexia Samiotis</dc:creator>
  <cp:keywords/>
  <dc:description/>
  <cp:lastModifiedBy>Jai Carmichael</cp:lastModifiedBy>
  <cp:revision>8</cp:revision>
  <dcterms:created xsi:type="dcterms:W3CDTF">2024-03-17T03:10:00Z</dcterms:created>
  <dcterms:modified xsi:type="dcterms:W3CDTF">2024-03-17T13:34:00Z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TF10002067</vt:lpwstr>
  </property>
  <property fmtid="{D5CDD505-2E9C-101B-9397-08002B2CF9AE}" pid="3" name="ZOTERO_PREF_1">
    <vt:lpwstr>&lt;data data-version="3" zotero-version="5.0.96.3"&gt;&lt;session id="Hu59EYe8"/&gt;&lt;style id="http://www.zotero.org/styles/apa" locale="en-US" hasBibliography="1" bibliographyStyleHasBeenSet="1"/&gt;&lt;prefs&gt;&lt;pref name="fieldType" value="Field"/&gt;&lt;pref name="automaticJou</vt:lpwstr>
  </property>
  <property fmtid="{D5CDD505-2E9C-101B-9397-08002B2CF9AE}" pid="4" name="ZOTERO_PREF_2">
    <vt:lpwstr>rnalAbbreviations" value="true"/&gt;&lt;pref name="delayCitationUpdates" value="true"/&gt;&lt;pref name="dontAskDelayCitationUpdates" value="true"/&gt;&lt;/prefs&gt;&lt;/data&gt;</vt:lpwstr>
  </property>
</Properties>
</file>